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2D42" w14:textId="5A6F3F30" w:rsidR="00C71D28" w:rsidRDefault="00C71D28" w:rsidP="001775CC">
      <w:pPr>
        <w:pStyle w:val="Heading1"/>
        <w:pBdr>
          <w:bottom w:val="single" w:sz="6" w:space="1" w:color="auto"/>
        </w:pBdr>
        <w:spacing w:before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Social Media Toolkit: </w:t>
      </w:r>
      <w:r w:rsidR="000342E2">
        <w:rPr>
          <w:rFonts w:asciiTheme="minorHAnsi" w:hAnsiTheme="minorHAnsi" w:cstheme="minorHAnsi"/>
          <w:b/>
          <w:bCs/>
          <w:sz w:val="28"/>
          <w:szCs w:val="28"/>
        </w:rPr>
        <w:t xml:space="preserve">Protect Treatment Access </w:t>
      </w:r>
      <w:r w:rsidR="00326615">
        <w:rPr>
          <w:rFonts w:asciiTheme="minorHAnsi" w:hAnsiTheme="minorHAnsi" w:cstheme="minorHAnsi"/>
          <w:b/>
          <w:bCs/>
          <w:sz w:val="28"/>
          <w:szCs w:val="28"/>
        </w:rPr>
        <w:t xml:space="preserve">&amp; </w:t>
      </w:r>
      <w:r w:rsidR="000342E2">
        <w:rPr>
          <w:rFonts w:asciiTheme="minorHAnsi" w:hAnsiTheme="minorHAnsi" w:cstheme="minorHAnsi"/>
          <w:b/>
          <w:bCs/>
          <w:sz w:val="28"/>
          <w:szCs w:val="28"/>
        </w:rPr>
        <w:t xml:space="preserve">Positive Health Outcomes </w:t>
      </w:r>
    </w:p>
    <w:p w14:paraId="5082037C" w14:textId="2714AA67" w:rsidR="00947A53" w:rsidRDefault="00326615" w:rsidP="001775C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Educate Stakeholders About the Need to Ensure</w:t>
      </w:r>
      <w:r w:rsidR="000342E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Patient Access to Treatment in New Jersey </w:t>
      </w:r>
    </w:p>
    <w:p w14:paraId="0167ABFF" w14:textId="77777777" w:rsidR="005E7E10" w:rsidRDefault="005E7E10" w:rsidP="001775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AA33A0" w14:textId="77018B4A" w:rsidR="00F3317C" w:rsidRDefault="00C71D28" w:rsidP="001775CC">
      <w:pPr>
        <w:pStyle w:val="Heading1"/>
        <w:pBdr>
          <w:bottom w:val="single" w:sz="6" w:space="1" w:color="auto"/>
        </w:pBdr>
        <w:spacing w:before="0" w:line="240" w:lineRule="auto"/>
      </w:pPr>
      <w:r w:rsidRPr="000856BE">
        <w:rPr>
          <w:noProof/>
        </w:rPr>
        <mc:AlternateContent>
          <mc:Choice Requires="wps">
            <w:drawing>
              <wp:inline distT="0" distB="0" distL="0" distR="0" wp14:anchorId="23CB9023" wp14:editId="15BD1886">
                <wp:extent cx="5943600" cy="1687407"/>
                <wp:effectExtent l="0" t="0" r="19050" b="27305"/>
                <wp:docPr id="15683000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87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FBB7" w14:textId="799986AC" w:rsidR="00584D86" w:rsidRDefault="003121E5" w:rsidP="005E7E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At </w:t>
                            </w:r>
                            <w:proofErr w:type="spellStart"/>
                            <w:r w:rsidR="00584D86" w:rsidRPr="00584D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BioNJ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our </w:t>
                            </w:r>
                            <w:r w:rsidR="00584D86" w:rsidRPr="00584D8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mission is to bolster medical innovation and New Jersey’s life sciences ecosystem. </w:t>
                            </w:r>
                            <w:r w:rsidR="00584D86" w:rsidRPr="00584D8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The discovery and development of new therapies and cures allow Patients to live longer, healthier, more productive lives – benefiting the entire healthcare system, New Jersey’s economy</w:t>
                            </w:r>
                            <w:r w:rsidR="0032661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584D86" w:rsidRPr="00584D8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society as a whole.</w:t>
                            </w:r>
                            <w:r w:rsidR="002B500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32E4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BioNJ</w:t>
                            </w:r>
                            <w:proofErr w:type="spellEnd"/>
                            <w:r w:rsidR="00E32E4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has developed a resource toolkit </w:t>
                            </w:r>
                            <w:r w:rsidR="00E428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help </w:t>
                            </w:r>
                            <w:r w:rsidR="004014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</w:t>
                            </w:r>
                            <w:r w:rsidR="00E428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atients engage</w:t>
                            </w:r>
                            <w:r w:rsidR="0023577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with</w:t>
                            </w:r>
                            <w:r w:rsidR="00E428E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learn more about the policies impacting their health</w:t>
                            </w:r>
                            <w:r w:rsidR="0023577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DB04701" w14:textId="77777777" w:rsidR="009535BC" w:rsidRPr="00573552" w:rsidRDefault="009535BC" w:rsidP="005E7E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682272" w14:textId="7AF9CAE5" w:rsidR="005E7E10" w:rsidRPr="00BD37CE" w:rsidRDefault="005E7E10" w:rsidP="005E7E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consider 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customizing and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sharing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the below social media co</w:t>
                            </w:r>
                            <w:r w:rsidR="000342E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tent </w:t>
                            </w:r>
                            <w:r w:rsidR="0032661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and resources 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with your networks</w:t>
                            </w:r>
                            <w:r w:rsidRPr="00280BA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educate </w:t>
                            </w:r>
                            <w:r w:rsidR="007A16F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others</w:t>
                            </w:r>
                            <w:r w:rsidRPr="00280BA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9535B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drivers of</w:t>
                            </w:r>
                            <w:r w:rsidR="000342E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high Patient costs in your communities and 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build awareness of </w:t>
                            </w:r>
                            <w:r w:rsidR="000856B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practices that 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impede treatment access for vulnerable </w:t>
                            </w:r>
                            <w:r w:rsidR="007A16F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5735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atient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populations</w:t>
                            </w:r>
                            <w:r w:rsidR="007A16F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E6A3939" w14:textId="77777777" w:rsidR="001B6F1B" w:rsidRPr="001450DF" w:rsidRDefault="001B6F1B" w:rsidP="00C71D2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1A593C5" w14:textId="77777777" w:rsidR="001B6F1B" w:rsidRPr="001450DF" w:rsidRDefault="001B6F1B" w:rsidP="00C71D2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B9023" id="Rectangle 1" o:spid="_x0000_s1026" style="width:468pt;height:1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" fillcolor="#1f3763 [1604]" strokecolor="#00b0f0" strokeweight="1.5pt">
                <v:textbox>
                  <w:txbxContent>
                    <w:p w14:paraId="296BFBB7" w14:textId="799986AC" w:rsidR="00584D86" w:rsidRDefault="003121E5" w:rsidP="005E7E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At </w:t>
                      </w:r>
                      <w:proofErr w:type="spellStart"/>
                      <w:r w:rsidR="00584D86" w:rsidRPr="00584D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BioNJ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our </w:t>
                      </w:r>
                      <w:r w:rsidR="00584D86" w:rsidRPr="00584D86">
                        <w:rPr>
                          <w:rFonts w:ascii="Calibri" w:hAnsi="Calibri" w:cs="Calibri"/>
                          <w:sz w:val="22"/>
                          <w:szCs w:val="22"/>
                        </w:rPr>
                        <w:t>mission is to bolster medical innovation and New Jersey’s life sciences ecosystem. </w:t>
                      </w:r>
                      <w:r w:rsidR="00584D86" w:rsidRPr="00584D8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The discovery and development of new therapies and cures allow Patients to live longer, healthier, more productive lives – benefiting the entire healthcare system, New Jersey’s economy</w:t>
                      </w:r>
                      <w:r w:rsidR="0032661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584D86" w:rsidRPr="00584D8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and society as a whole.</w:t>
                      </w:r>
                      <w:r w:rsidR="002B500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32E41">
                        <w:rPr>
                          <w:rFonts w:ascii="Calibri" w:hAnsi="Calibri" w:cs="Calibri"/>
                          <w:sz w:val="22"/>
                          <w:szCs w:val="22"/>
                        </w:rPr>
                        <w:t>BioNJ</w:t>
                      </w:r>
                      <w:proofErr w:type="spellEnd"/>
                      <w:r w:rsidR="00E32E4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has developed a resource toolkit </w:t>
                      </w:r>
                      <w:r w:rsidR="00E428E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help </w:t>
                      </w:r>
                      <w:r w:rsidR="004014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</w:t>
                      </w:r>
                      <w:r w:rsidR="00E428E0">
                        <w:rPr>
                          <w:rFonts w:ascii="Calibri" w:hAnsi="Calibri" w:cs="Calibri"/>
                          <w:sz w:val="22"/>
                          <w:szCs w:val="22"/>
                        </w:rPr>
                        <w:t>atients engage</w:t>
                      </w:r>
                      <w:r w:rsidR="0023577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with</w:t>
                      </w:r>
                      <w:r w:rsidR="00E428E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learn more about the policies impacting their health</w:t>
                      </w:r>
                      <w:r w:rsidR="0023577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DB04701" w14:textId="77777777" w:rsidR="009535BC" w:rsidRPr="00573552" w:rsidRDefault="009535BC" w:rsidP="005E7E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682272" w14:textId="7AF9CAE5" w:rsidR="005E7E10" w:rsidRPr="00BD37CE" w:rsidRDefault="005E7E10" w:rsidP="005E7E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Please consider 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customizing and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sharing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the below social media co</w:t>
                      </w:r>
                      <w:r w:rsidR="000342E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tent </w:t>
                      </w:r>
                      <w:r w:rsidR="0032661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and resources 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with your networks</w:t>
                      </w:r>
                      <w:r w:rsidRPr="00280BA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to educate </w:t>
                      </w:r>
                      <w:r w:rsidR="007A16F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others</w:t>
                      </w:r>
                      <w:r w:rsidRPr="00280BA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on the </w:t>
                      </w:r>
                      <w:r w:rsidR="009535B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drivers of</w:t>
                      </w:r>
                      <w:r w:rsidR="000342E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high Patient costs in your communities and 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build awareness of </w:t>
                      </w:r>
                      <w:r w:rsidR="000856B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the practices that 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impede treatment access for vulnerable </w:t>
                      </w:r>
                      <w:r w:rsidR="007A16F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5735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atient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populations</w:t>
                      </w:r>
                      <w:r w:rsidR="007A16F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E6A3939" w14:textId="77777777" w:rsidR="001B6F1B" w:rsidRPr="001450DF" w:rsidRDefault="001B6F1B" w:rsidP="00C71D2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1A593C5" w14:textId="77777777" w:rsidR="001B6F1B" w:rsidRPr="001450DF" w:rsidRDefault="001B6F1B" w:rsidP="00C71D2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BD55515" w14:textId="13ECA80B" w:rsidR="00584D86" w:rsidRDefault="00AF72CB" w:rsidP="001775CC">
      <w:pPr>
        <w:tabs>
          <w:tab w:val="left" w:pos="229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2DB5B3" w14:textId="7A11A1AC" w:rsidR="00584D86" w:rsidRPr="00F60886" w:rsidRDefault="00584D86" w:rsidP="001775CC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Table of Contents</w:t>
      </w:r>
    </w:p>
    <w:p w14:paraId="0D08A469" w14:textId="75F01BC1" w:rsidR="00584D86" w:rsidRPr="0075619C" w:rsidRDefault="00584D86" w:rsidP="001775CC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75619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Click below to view content. </w:t>
      </w:r>
    </w:p>
    <w:p w14:paraId="3331F6CC" w14:textId="77777777" w:rsidR="007511C1" w:rsidRPr="007511C1" w:rsidRDefault="007511C1" w:rsidP="001775CC">
      <w:p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AAD6C19" w14:textId="542B2BE6" w:rsidR="00EC031C" w:rsidRPr="00CF6676" w:rsidRDefault="00584D86" w:rsidP="001775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Key Resources:</w:t>
      </w:r>
      <w:r w:rsidRPr="00673AC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w:anchor="_Key_Resources:_Patient" w:history="1">
        <w:proofErr w:type="spellStart"/>
        <w:r w:rsidRPr="00673AC2">
          <w:rPr>
            <w:rStyle w:val="Hyperlink"/>
            <w:rFonts w:asciiTheme="minorHAnsi" w:hAnsiTheme="minorHAnsi" w:cstheme="minorHAnsi"/>
            <w:sz w:val="22"/>
            <w:szCs w:val="22"/>
          </w:rPr>
          <w:t>BioNJ</w:t>
        </w:r>
        <w:proofErr w:type="spellEnd"/>
        <w:r w:rsidRPr="00673AC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673AC2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 xml:space="preserve">Protecting Medical Innovation </w:t>
        </w:r>
        <w:r w:rsidRPr="00673AC2">
          <w:rPr>
            <w:rStyle w:val="Hyperlink"/>
            <w:rFonts w:asciiTheme="minorHAnsi" w:hAnsiTheme="minorHAnsi" w:cstheme="minorHAnsi"/>
            <w:sz w:val="22"/>
            <w:szCs w:val="22"/>
          </w:rPr>
          <w:t>Campaign</w:t>
        </w:r>
      </w:hyperlink>
    </w:p>
    <w:p w14:paraId="43A3F1C0" w14:textId="6E2C93B5" w:rsidR="00EC031C" w:rsidRPr="00CF6676" w:rsidRDefault="000856BE" w:rsidP="001775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Social Media</w:t>
      </w:r>
      <w:r w:rsidR="00584D86"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 Content: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w:anchor="_Pharmacy_Benefit_Managers" w:history="1">
        <w:r w:rsidR="00584D86" w:rsidRPr="00584D86">
          <w:rPr>
            <w:rStyle w:val="Hyperlink"/>
            <w:rFonts w:asciiTheme="minorHAnsi" w:hAnsiTheme="minorHAnsi" w:cstheme="minorHAnsi"/>
            <w:sz w:val="22"/>
            <w:szCs w:val="22"/>
          </w:rPr>
          <w:t>Pharmacy Benefit Managers (PBMs)</w:t>
        </w:r>
      </w:hyperlink>
    </w:p>
    <w:p w14:paraId="409D90E7" w14:textId="0B400764" w:rsidR="0090050A" w:rsidRPr="00CF6676" w:rsidRDefault="000856BE" w:rsidP="001775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Social Media</w:t>
      </w:r>
      <w:r w:rsidR="00F60886"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 Content: </w:t>
      </w:r>
      <w:hyperlink w:anchor="_The_Inflation_Reduction" w:history="1">
        <w:r w:rsidR="003C3B0F" w:rsidRPr="00B7637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The Inflation Reduction Act (IRA) &amp; Drug Price Negotiation </w:t>
        </w:r>
      </w:hyperlink>
    </w:p>
    <w:p w14:paraId="1EC4A624" w14:textId="14010508" w:rsidR="003C3B0F" w:rsidRPr="00CF6676" w:rsidRDefault="000856BE" w:rsidP="001775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Social Media</w:t>
      </w:r>
      <w:r w:rsidR="00F60886"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 Content: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w:anchor="_The_Institute_for" w:history="1">
        <w:r w:rsidR="003C3B0F" w:rsidRPr="00B76373">
          <w:rPr>
            <w:rStyle w:val="Hyperlink"/>
            <w:rFonts w:asciiTheme="minorHAnsi" w:hAnsiTheme="minorHAnsi" w:cstheme="minorHAnsi"/>
            <w:sz w:val="22"/>
            <w:szCs w:val="22"/>
          </w:rPr>
          <w:t>ICER &amp; Discriminatory Value Assessment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3C3B0F" w:rsidRPr="00B76373">
          <w:rPr>
            <w:rStyle w:val="Hyperlink"/>
            <w:rFonts w:asciiTheme="minorHAnsi" w:hAnsiTheme="minorHAnsi" w:cstheme="minorHAnsi"/>
            <w:sz w:val="22"/>
            <w:szCs w:val="22"/>
          </w:rPr>
          <w:t>Methodologies</w:t>
        </w:r>
      </w:hyperlink>
    </w:p>
    <w:p w14:paraId="22874B91" w14:textId="1ED13D5F" w:rsidR="003C3B0F" w:rsidRPr="00CF6676" w:rsidRDefault="000856BE" w:rsidP="001775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Social Media </w:t>
      </w:r>
      <w:r w:rsidR="00F60886" w:rsidRPr="00F60886">
        <w:rPr>
          <w:rFonts w:asciiTheme="minorHAnsi" w:hAnsiTheme="minorHAnsi" w:cstheme="minorHAnsi"/>
          <w:b/>
          <w:bCs/>
          <w:sz w:val="22"/>
          <w:szCs w:val="22"/>
        </w:rPr>
        <w:t>Content:</w:t>
      </w:r>
      <w:r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w:anchor="_BioNJ_Drug_Pricing" w:history="1">
        <w:proofErr w:type="spellStart"/>
        <w:r w:rsidR="003C3B0F" w:rsidRPr="00B76373">
          <w:rPr>
            <w:rStyle w:val="Hyperlink"/>
            <w:rFonts w:asciiTheme="minorHAnsi" w:hAnsiTheme="minorHAnsi" w:cstheme="minorHAnsi"/>
            <w:sz w:val="22"/>
            <w:szCs w:val="22"/>
          </w:rPr>
          <w:t>BioNJ</w:t>
        </w:r>
        <w:proofErr w:type="spellEnd"/>
        <w:r w:rsidR="003C3B0F" w:rsidRPr="00B7637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Drug Pricing Dictionary</w:t>
        </w:r>
      </w:hyperlink>
    </w:p>
    <w:p w14:paraId="468A7753" w14:textId="77777777" w:rsidR="00EC031C" w:rsidRDefault="00EC031C" w:rsidP="001775CC"/>
    <w:p w14:paraId="7B150E1B" w14:textId="14DD8150" w:rsidR="00597055" w:rsidRDefault="00597055" w:rsidP="001775CC">
      <w:pPr>
        <w:pStyle w:val="Heading3"/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Key_Resources:_Patient"/>
      <w:bookmarkEnd w:id="0"/>
      <w:r>
        <w:rPr>
          <w:rFonts w:asciiTheme="minorHAnsi" w:hAnsiTheme="minorHAnsi" w:cstheme="minorHAnsi"/>
          <w:b/>
          <w:bCs/>
          <w:sz w:val="26"/>
          <w:szCs w:val="26"/>
        </w:rPr>
        <w:t xml:space="preserve">Key Resources: </w:t>
      </w:r>
      <w:r w:rsidR="006609B8" w:rsidRPr="006609B8">
        <w:rPr>
          <w:rFonts w:asciiTheme="minorHAnsi" w:hAnsiTheme="minorHAnsi" w:cstheme="minorHAnsi"/>
          <w:b/>
          <w:bCs/>
          <w:sz w:val="26"/>
          <w:szCs w:val="26"/>
        </w:rPr>
        <w:t xml:space="preserve">Protect Treatment Access </w:t>
      </w:r>
      <w:r w:rsidR="00326615">
        <w:rPr>
          <w:rFonts w:asciiTheme="minorHAnsi" w:hAnsiTheme="minorHAnsi" w:cstheme="minorHAnsi"/>
          <w:b/>
          <w:bCs/>
          <w:sz w:val="26"/>
          <w:szCs w:val="26"/>
        </w:rPr>
        <w:t>&amp;</w:t>
      </w:r>
      <w:r w:rsidR="00326615" w:rsidRPr="006609B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609B8" w:rsidRPr="006609B8">
        <w:rPr>
          <w:rFonts w:asciiTheme="minorHAnsi" w:hAnsiTheme="minorHAnsi" w:cstheme="minorHAnsi"/>
          <w:b/>
          <w:bCs/>
          <w:sz w:val="26"/>
          <w:szCs w:val="26"/>
        </w:rPr>
        <w:t>Positive Health Outcomes</w:t>
      </w:r>
    </w:p>
    <w:p w14:paraId="1F9A3CA3" w14:textId="5756318A" w:rsidR="00597055" w:rsidRDefault="00597055" w:rsidP="001775CC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3F4100C" w14:textId="7A36FC47" w:rsidR="00584D86" w:rsidRPr="00D9473D" w:rsidRDefault="00584D86" w:rsidP="001775CC">
      <w:pPr>
        <w:rPr>
          <w:rFonts w:asciiTheme="minorHAnsi" w:hAnsiTheme="minorHAnsi" w:cstheme="minorHAnsi"/>
          <w:sz w:val="22"/>
          <w:szCs w:val="22"/>
        </w:rPr>
      </w:pPr>
      <w:r w:rsidRPr="00D9473D">
        <w:rPr>
          <w:rFonts w:asciiTheme="minorHAnsi" w:hAnsiTheme="minorHAnsi" w:cstheme="minorHAnsi"/>
          <w:sz w:val="22"/>
          <w:szCs w:val="22"/>
        </w:rPr>
        <w:t>Patients across New Jersey are struggling to access</w:t>
      </w:r>
      <w:r w:rsidR="00326615">
        <w:rPr>
          <w:rFonts w:asciiTheme="minorHAnsi" w:hAnsiTheme="minorHAnsi" w:cstheme="minorHAnsi"/>
          <w:sz w:val="22"/>
          <w:szCs w:val="22"/>
        </w:rPr>
        <w:t xml:space="preserve"> and afford</w:t>
      </w:r>
      <w:r w:rsidRPr="00D9473D">
        <w:rPr>
          <w:rFonts w:asciiTheme="minorHAnsi" w:hAnsiTheme="minorHAnsi" w:cstheme="minorHAnsi"/>
          <w:sz w:val="22"/>
          <w:szCs w:val="22"/>
        </w:rPr>
        <w:t xml:space="preserve"> necessary treatments </w:t>
      </w:r>
      <w:r w:rsidR="00326615">
        <w:rPr>
          <w:rFonts w:asciiTheme="minorHAnsi" w:hAnsiTheme="minorHAnsi" w:cstheme="minorHAnsi"/>
          <w:sz w:val="22"/>
          <w:szCs w:val="22"/>
        </w:rPr>
        <w:t>to manage their health and wellbeing</w:t>
      </w:r>
      <w:r w:rsidRPr="00D9473D">
        <w:rPr>
          <w:rFonts w:asciiTheme="minorHAnsi" w:hAnsiTheme="minorHAnsi" w:cstheme="minorHAnsi"/>
          <w:sz w:val="22"/>
          <w:szCs w:val="22"/>
        </w:rPr>
        <w:t xml:space="preserve">. Some actors in the healthcare system and misguided policies threaten to </w:t>
      </w:r>
      <w:r w:rsidR="00A57A22">
        <w:rPr>
          <w:rFonts w:asciiTheme="minorHAnsi" w:hAnsiTheme="minorHAnsi" w:cstheme="minorHAnsi"/>
          <w:sz w:val="22"/>
          <w:szCs w:val="22"/>
        </w:rPr>
        <w:t xml:space="preserve">exacerbate these challenges while </w:t>
      </w:r>
      <w:r w:rsidRPr="00D9473D">
        <w:rPr>
          <w:rFonts w:asciiTheme="minorHAnsi" w:hAnsiTheme="minorHAnsi" w:cstheme="minorHAnsi"/>
          <w:sz w:val="22"/>
          <w:szCs w:val="22"/>
        </w:rPr>
        <w:t>rais</w:t>
      </w:r>
      <w:r w:rsidR="00A57A22">
        <w:rPr>
          <w:rFonts w:asciiTheme="minorHAnsi" w:hAnsiTheme="minorHAnsi" w:cstheme="minorHAnsi"/>
          <w:sz w:val="22"/>
          <w:szCs w:val="22"/>
        </w:rPr>
        <w:t>ing</w:t>
      </w:r>
      <w:r w:rsidRPr="00D9473D">
        <w:rPr>
          <w:rFonts w:asciiTheme="minorHAnsi" w:hAnsiTheme="minorHAnsi" w:cstheme="minorHAnsi"/>
          <w:sz w:val="22"/>
          <w:szCs w:val="22"/>
        </w:rPr>
        <w:t xml:space="preserve"> out-of-pocket costs,</w:t>
      </w:r>
      <w:r w:rsidR="00A57A22">
        <w:rPr>
          <w:rFonts w:asciiTheme="minorHAnsi" w:hAnsiTheme="minorHAnsi" w:cstheme="minorHAnsi"/>
          <w:sz w:val="22"/>
          <w:szCs w:val="22"/>
        </w:rPr>
        <w:t xml:space="preserve"> further threatening Patient</w:t>
      </w:r>
      <w:r w:rsidRPr="00D9473D">
        <w:rPr>
          <w:rFonts w:asciiTheme="minorHAnsi" w:hAnsiTheme="minorHAnsi" w:cstheme="minorHAnsi"/>
          <w:sz w:val="22"/>
          <w:szCs w:val="22"/>
        </w:rPr>
        <w:t xml:space="preserve"> access to life-sustaining treatment. </w:t>
      </w:r>
      <w:r w:rsidRPr="00D9473D">
        <w:rPr>
          <w:rFonts w:asciiTheme="minorHAnsi" w:hAnsiTheme="minorHAnsi" w:cstheme="minorHAnsi"/>
          <w:b/>
          <w:bCs/>
          <w:sz w:val="22"/>
          <w:szCs w:val="22"/>
        </w:rPr>
        <w:t>Check out the</w:t>
      </w:r>
      <w:r w:rsidR="00507946">
        <w:rPr>
          <w:rFonts w:asciiTheme="minorHAnsi" w:hAnsiTheme="minorHAnsi" w:cstheme="minorHAnsi"/>
          <w:b/>
          <w:bCs/>
          <w:sz w:val="22"/>
          <w:szCs w:val="22"/>
        </w:rPr>
        <w:t xml:space="preserve"> following</w:t>
      </w:r>
      <w:r w:rsidRPr="00D947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9473D">
        <w:rPr>
          <w:rFonts w:asciiTheme="minorHAnsi" w:hAnsiTheme="minorHAnsi" w:cstheme="minorHAnsi"/>
          <w:b/>
          <w:bCs/>
          <w:sz w:val="22"/>
          <w:szCs w:val="22"/>
        </w:rPr>
        <w:t>BioNJ</w:t>
      </w:r>
      <w:proofErr w:type="spellEnd"/>
      <w:r w:rsidRPr="00D9473D">
        <w:rPr>
          <w:rFonts w:asciiTheme="minorHAnsi" w:hAnsiTheme="minorHAnsi" w:cstheme="minorHAnsi"/>
          <w:b/>
          <w:bCs/>
          <w:sz w:val="22"/>
          <w:szCs w:val="22"/>
        </w:rPr>
        <w:t xml:space="preserve"> resources to learn more about the policies impacting Patients </w:t>
      </w:r>
      <w:r w:rsidR="00507946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507946" w:rsidRPr="00D947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473D">
        <w:rPr>
          <w:rFonts w:asciiTheme="minorHAnsi" w:hAnsiTheme="minorHAnsi" w:cstheme="minorHAnsi"/>
          <w:b/>
          <w:bCs/>
          <w:sz w:val="22"/>
          <w:szCs w:val="22"/>
        </w:rPr>
        <w:t>New Jersey and beyond:</w:t>
      </w:r>
      <w:r w:rsidRPr="00D94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6C07DF" w14:textId="77777777" w:rsidR="00584D86" w:rsidRDefault="00584D86" w:rsidP="001775CC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CFD88D9" w14:textId="68097E9E" w:rsidR="00B625AB" w:rsidRPr="00B625AB" w:rsidRDefault="00B625AB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74982">
        <w:rPr>
          <w:rFonts w:asciiTheme="minorHAnsi" w:hAnsiTheme="minorHAnsi" w:cstheme="minorHAnsi"/>
          <w:b/>
          <w:bCs/>
          <w:sz w:val="22"/>
          <w:szCs w:val="22"/>
        </w:rPr>
        <w:t>RESOURCE PAGE</w:t>
      </w:r>
      <w:r w:rsidR="00074982" w:rsidRPr="00074982">
        <w:rPr>
          <w:rFonts w:asciiTheme="minorHAnsi" w:hAnsiTheme="minorHAnsi" w:cstheme="minorHAnsi"/>
          <w:b/>
          <w:bCs/>
          <w:sz w:val="22"/>
          <w:szCs w:val="22"/>
        </w:rPr>
        <w:t xml:space="preserve"> 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74982" w:rsidRPr="00074982">
          <w:rPr>
            <w:rStyle w:val="Hyperlink"/>
            <w:rFonts w:asciiTheme="minorHAnsi" w:hAnsiTheme="minorHAnsi" w:cstheme="minorHAnsi"/>
            <w:sz w:val="22"/>
            <w:szCs w:val="22"/>
          </w:rPr>
          <w:t>Value of Medical Innovation</w:t>
        </w:r>
      </w:hyperlink>
    </w:p>
    <w:p w14:paraId="40184964" w14:textId="544D1A79" w:rsidR="00D96703" w:rsidRPr="00D96703" w:rsidRDefault="00E66959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INFOGRAPHIC 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D96703" w:rsidRPr="00D96703">
          <w:rPr>
            <w:rStyle w:val="Hyperlink"/>
            <w:rFonts w:asciiTheme="minorHAnsi" w:hAnsiTheme="minorHAnsi" w:cstheme="minorHAnsi"/>
            <w:sz w:val="22"/>
            <w:szCs w:val="22"/>
          </w:rPr>
          <w:t>The Impact of PBM Practices on Patients</w:t>
        </w:r>
      </w:hyperlink>
    </w:p>
    <w:p w14:paraId="27A0D799" w14:textId="6831F9BB" w:rsidR="00E66959" w:rsidRPr="00D96703" w:rsidRDefault="00E66959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BLOG |</w:t>
      </w:r>
      <w:r w:rsidRPr="00D9670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D96703" w:rsidRPr="00D96703">
          <w:rPr>
            <w:rStyle w:val="Hyperlink"/>
            <w:rFonts w:asciiTheme="minorHAnsi" w:hAnsiTheme="minorHAnsi" w:cstheme="minorHAnsi"/>
            <w:sz w:val="22"/>
            <w:szCs w:val="22"/>
          </w:rPr>
          <w:t>Pharmacy Benefit Manager Practices: Creating Barriers to Treatment for Patients Living with Autoimmune Diseases</w:t>
        </w:r>
      </w:hyperlink>
      <w:r w:rsidR="00D96703">
        <w:rPr>
          <w:rFonts w:asciiTheme="minorHAnsi" w:hAnsiTheme="minorHAnsi" w:cstheme="minorHAnsi"/>
          <w:sz w:val="22"/>
          <w:szCs w:val="22"/>
        </w:rPr>
        <w:t xml:space="preserve"> </w:t>
      </w:r>
      <w:r w:rsidR="00584D86">
        <w:rPr>
          <w:rFonts w:asciiTheme="minorHAnsi" w:hAnsiTheme="minorHAnsi" w:cstheme="minorHAnsi"/>
          <w:sz w:val="22"/>
          <w:szCs w:val="22"/>
        </w:rPr>
        <w:t>(</w:t>
      </w:r>
      <w:r w:rsidR="00D96703" w:rsidRPr="00D96703">
        <w:rPr>
          <w:rFonts w:asciiTheme="minorHAnsi" w:hAnsiTheme="minorHAnsi" w:cstheme="minorHAnsi"/>
          <w:sz w:val="22"/>
          <w:szCs w:val="22"/>
        </w:rPr>
        <w:t>Molly Murray, President, Autoimmune Association</w:t>
      </w:r>
      <w:r w:rsidR="00584D86">
        <w:rPr>
          <w:rFonts w:asciiTheme="minorHAnsi" w:hAnsiTheme="minorHAnsi" w:cstheme="minorHAnsi"/>
          <w:sz w:val="22"/>
          <w:szCs w:val="22"/>
        </w:rPr>
        <w:t>)</w:t>
      </w:r>
    </w:p>
    <w:p w14:paraId="55067552" w14:textId="77777777" w:rsidR="00D96703" w:rsidRPr="00D96703" w:rsidRDefault="00E66959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RESOURCE PAGE 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D96703" w:rsidRPr="00D96703">
          <w:rPr>
            <w:rStyle w:val="Hyperlink"/>
            <w:rFonts w:asciiTheme="minorHAnsi" w:hAnsiTheme="minorHAnsi" w:cstheme="minorHAnsi"/>
            <w:sz w:val="22"/>
            <w:szCs w:val="22"/>
          </w:rPr>
          <w:t>The Impact of the Inflation Reduction Act on Patients</w:t>
        </w:r>
      </w:hyperlink>
    </w:p>
    <w:p w14:paraId="4C665875" w14:textId="3EA300A7" w:rsidR="00F3317C" w:rsidRPr="00584D86" w:rsidRDefault="00D96703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 xml:space="preserve">BLOG | </w:t>
      </w:r>
      <w:hyperlink r:id="rId12" w:history="1">
        <w:r w:rsidRPr="00D96703">
          <w:rPr>
            <w:rStyle w:val="Hyperlink"/>
            <w:rFonts w:asciiTheme="minorHAnsi" w:hAnsiTheme="minorHAnsi" w:cstheme="minorHAnsi"/>
            <w:sz w:val="22"/>
            <w:szCs w:val="22"/>
          </w:rPr>
          <w:t>When ICER’s Health Economists Hijack the Patient-Physician Relationship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4D86">
        <w:rPr>
          <w:rFonts w:asciiTheme="minorHAnsi" w:hAnsiTheme="minorHAnsi" w:cstheme="minorHAnsi"/>
          <w:sz w:val="22"/>
          <w:szCs w:val="22"/>
        </w:rPr>
        <w:t>(</w:t>
      </w:r>
      <w:r w:rsidR="00F3317C" w:rsidRPr="00D96703">
        <w:rPr>
          <w:rFonts w:asciiTheme="minorHAnsi" w:hAnsiTheme="minorHAnsi" w:cstheme="minorHAnsi"/>
          <w:sz w:val="22"/>
          <w:szCs w:val="22"/>
        </w:rPr>
        <w:t xml:space="preserve">Josie Cooper, </w:t>
      </w:r>
      <w:r w:rsidR="00F3317C" w:rsidRPr="00584D86">
        <w:rPr>
          <w:rFonts w:asciiTheme="minorHAnsi" w:hAnsiTheme="minorHAnsi" w:cstheme="minorHAnsi"/>
          <w:sz w:val="22"/>
          <w:szCs w:val="22"/>
        </w:rPr>
        <w:t xml:space="preserve">Executive Director, Alliance for Patient Access </w:t>
      </w:r>
      <w:r w:rsidR="00584D86" w:rsidRPr="00584D8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84D86" w:rsidRPr="00584D86">
        <w:rPr>
          <w:rFonts w:asciiTheme="minorHAnsi" w:hAnsiTheme="minorHAnsi" w:cstheme="minorHAnsi"/>
          <w:sz w:val="22"/>
          <w:szCs w:val="22"/>
        </w:rPr>
        <w:t>AfPA</w:t>
      </w:r>
      <w:proofErr w:type="spellEnd"/>
      <w:r w:rsidR="00584D86" w:rsidRPr="00584D86">
        <w:rPr>
          <w:rFonts w:asciiTheme="minorHAnsi" w:hAnsiTheme="minorHAnsi" w:cstheme="minorHAnsi"/>
          <w:sz w:val="22"/>
          <w:szCs w:val="22"/>
        </w:rPr>
        <w:t>))</w:t>
      </w:r>
    </w:p>
    <w:p w14:paraId="5587973C" w14:textId="11A1C3F8" w:rsidR="00CF6676" w:rsidRPr="00CF6676" w:rsidRDefault="00D96703" w:rsidP="001775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F60886">
        <w:rPr>
          <w:rFonts w:asciiTheme="minorHAnsi" w:hAnsiTheme="minorHAnsi" w:cstheme="minorHAnsi"/>
          <w:b/>
          <w:bCs/>
          <w:sz w:val="22"/>
          <w:szCs w:val="22"/>
        </w:rPr>
        <w:t>RESOURCE PAGE |</w:t>
      </w:r>
      <w:r w:rsidRPr="00584D86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proofErr w:type="spellStart"/>
        <w:r w:rsidR="00CF6676" w:rsidRPr="00F3317C">
          <w:rPr>
            <w:rStyle w:val="Hyperlink"/>
            <w:rFonts w:asciiTheme="minorHAnsi" w:hAnsiTheme="minorHAnsi" w:cstheme="minorHAnsi"/>
            <w:sz w:val="22"/>
            <w:szCs w:val="22"/>
          </w:rPr>
          <w:t>BioNJ</w:t>
        </w:r>
        <w:proofErr w:type="spellEnd"/>
        <w:r w:rsidR="00CF6676" w:rsidRPr="00F3317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Drug Pricing Dictionary</w:t>
        </w:r>
      </w:hyperlink>
    </w:p>
    <w:p w14:paraId="739B1041" w14:textId="77777777" w:rsidR="00597055" w:rsidRPr="003C3B0F" w:rsidRDefault="00597055" w:rsidP="001775CC"/>
    <w:p w14:paraId="453514E3" w14:textId="54DBEF74" w:rsidR="00C71D28" w:rsidRDefault="00B64AC5" w:rsidP="001775CC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  <w:r w:rsidR="00C71D28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SOCIAL MEDIA: </w:t>
      </w:r>
      <w:r w:rsidR="006609B8" w:rsidRPr="006609B8">
        <w:rPr>
          <w:rFonts w:asciiTheme="minorHAnsi" w:hAnsiTheme="minorHAnsi" w:cstheme="minorHAnsi"/>
          <w:b/>
          <w:bCs/>
          <w:sz w:val="26"/>
          <w:szCs w:val="26"/>
        </w:rPr>
        <w:t xml:space="preserve">Protect Treatment Access </w:t>
      </w:r>
      <w:r w:rsidR="001775CC">
        <w:rPr>
          <w:rFonts w:asciiTheme="minorHAnsi" w:hAnsiTheme="minorHAnsi" w:cstheme="minorHAnsi"/>
          <w:b/>
          <w:bCs/>
          <w:sz w:val="26"/>
          <w:szCs w:val="26"/>
        </w:rPr>
        <w:t>&amp;</w:t>
      </w:r>
      <w:r w:rsidR="001775CC" w:rsidRPr="006609B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609B8" w:rsidRPr="006609B8">
        <w:rPr>
          <w:rFonts w:asciiTheme="minorHAnsi" w:hAnsiTheme="minorHAnsi" w:cstheme="minorHAnsi"/>
          <w:b/>
          <w:bCs/>
          <w:sz w:val="26"/>
          <w:szCs w:val="26"/>
        </w:rPr>
        <w:t>Positive Health Outcomes</w:t>
      </w:r>
    </w:p>
    <w:p w14:paraId="206F1F4F" w14:textId="29E24A56" w:rsidR="00C71D28" w:rsidRDefault="00C71D28" w:rsidP="001775CC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NOTE: All posts are customized for Twitter/X tags and character limits. </w:t>
      </w:r>
    </w:p>
    <w:p w14:paraId="097A2E8D" w14:textId="77777777" w:rsidR="00ED1A4D" w:rsidRDefault="00ED1A4D" w:rsidP="001775CC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12CF973" w14:textId="18EA84A1" w:rsidR="00ED1A4D" w:rsidRPr="00B76373" w:rsidRDefault="00ED1A4D" w:rsidP="001775CC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1" w:name="_Pharmacy_Benefit_Managers"/>
      <w:bookmarkEnd w:id="1"/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>Pharmacy Benefit Managers (PBMs)</w:t>
      </w:r>
    </w:p>
    <w:p w14:paraId="657CBA5F" w14:textId="77777777" w:rsidR="00FA1848" w:rsidRPr="001A1FED" w:rsidRDefault="00FA184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4840D43B" w14:textId="21F2934D" w:rsidR="00ED1A4D" w:rsidRPr="0094277A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14" w:history="1">
        <w:r w:rsidR="001A1FED" w:rsidRPr="0023500E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AA2D7A">
        <w:rPr>
          <w:rFonts w:asciiTheme="minorHAnsi" w:hAnsiTheme="minorHAnsi" w:cstheme="minorHAnsi"/>
          <w:sz w:val="22"/>
          <w:szCs w:val="22"/>
        </w:rPr>
        <w:t xml:space="preserve"> </w:t>
      </w:r>
      <w:r w:rsidR="00CB55A5">
        <w:rPr>
          <w:rFonts w:asciiTheme="minorHAnsi" w:hAnsiTheme="minorHAnsi" w:cstheme="minorHAnsi"/>
          <w:sz w:val="22"/>
          <w:szCs w:val="22"/>
        </w:rPr>
        <w:t>Pharmacy benefit managers, otherwise known as #PBMs</w:t>
      </w:r>
      <w:r w:rsidR="00964F3A">
        <w:rPr>
          <w:rFonts w:asciiTheme="minorHAnsi" w:hAnsiTheme="minorHAnsi" w:cstheme="minorHAnsi"/>
          <w:sz w:val="22"/>
          <w:szCs w:val="22"/>
        </w:rPr>
        <w:t xml:space="preserve">, </w:t>
      </w:r>
      <w:r w:rsidR="00597055">
        <w:rPr>
          <w:rFonts w:asciiTheme="minorHAnsi" w:hAnsiTheme="minorHAnsi" w:cstheme="minorHAnsi"/>
          <w:sz w:val="22"/>
          <w:szCs w:val="22"/>
        </w:rPr>
        <w:t xml:space="preserve">hinder </w:t>
      </w:r>
      <w:r w:rsidR="001C70EA">
        <w:rPr>
          <w:rFonts w:asciiTheme="minorHAnsi" w:hAnsiTheme="minorHAnsi" w:cstheme="minorHAnsi"/>
          <w:sz w:val="22"/>
          <w:szCs w:val="22"/>
        </w:rPr>
        <w:t>Patients</w:t>
      </w:r>
      <w:r w:rsidR="00884E9C">
        <w:rPr>
          <w:rFonts w:asciiTheme="minorHAnsi" w:hAnsiTheme="minorHAnsi" w:cstheme="minorHAnsi"/>
          <w:sz w:val="22"/>
          <w:szCs w:val="22"/>
        </w:rPr>
        <w:t xml:space="preserve">’ </w:t>
      </w:r>
      <w:r w:rsidR="00E03293">
        <w:rPr>
          <w:rFonts w:asciiTheme="minorHAnsi" w:hAnsiTheme="minorHAnsi" w:cstheme="minorHAnsi"/>
          <w:sz w:val="22"/>
          <w:szCs w:val="22"/>
        </w:rPr>
        <w:t xml:space="preserve">access to treatment </w:t>
      </w:r>
      <w:r w:rsidR="00964F3A">
        <w:rPr>
          <w:rFonts w:asciiTheme="minorHAnsi" w:hAnsiTheme="minorHAnsi" w:cstheme="minorHAnsi"/>
          <w:sz w:val="22"/>
          <w:szCs w:val="22"/>
        </w:rPr>
        <w:t xml:space="preserve">in favor of their own profits. Learn more about </w:t>
      </w:r>
      <w:r w:rsidR="00EA1166">
        <w:rPr>
          <w:rFonts w:asciiTheme="minorHAnsi" w:hAnsiTheme="minorHAnsi" w:cstheme="minorHAnsi"/>
          <w:sz w:val="22"/>
          <w:szCs w:val="22"/>
        </w:rPr>
        <w:t xml:space="preserve">the </w:t>
      </w:r>
      <w:r w:rsidR="00597055">
        <w:rPr>
          <w:rFonts w:asciiTheme="minorHAnsi" w:hAnsiTheme="minorHAnsi" w:cstheme="minorHAnsi"/>
          <w:sz w:val="22"/>
          <w:szCs w:val="22"/>
        </w:rPr>
        <w:t>opaque practices</w:t>
      </w:r>
      <w:r w:rsidR="00EA1166">
        <w:rPr>
          <w:rFonts w:asciiTheme="minorHAnsi" w:hAnsiTheme="minorHAnsi" w:cstheme="minorHAnsi"/>
          <w:sz w:val="22"/>
          <w:szCs w:val="22"/>
        </w:rPr>
        <w:t xml:space="preserve"> of PBMs and </w:t>
      </w:r>
      <w:r w:rsidR="00597055">
        <w:rPr>
          <w:rFonts w:asciiTheme="minorHAnsi" w:hAnsiTheme="minorHAnsi" w:cstheme="minorHAnsi"/>
          <w:sz w:val="22"/>
          <w:szCs w:val="22"/>
        </w:rPr>
        <w:t xml:space="preserve">how they impact </w:t>
      </w:r>
      <w:r w:rsidR="00EA1166">
        <w:rPr>
          <w:rFonts w:asciiTheme="minorHAnsi" w:hAnsiTheme="minorHAnsi" w:cstheme="minorHAnsi"/>
          <w:sz w:val="22"/>
          <w:szCs w:val="22"/>
        </w:rPr>
        <w:t>Patients</w:t>
      </w:r>
      <w:r w:rsidR="009439FA">
        <w:rPr>
          <w:rFonts w:asciiTheme="minorHAnsi" w:hAnsiTheme="minorHAnsi" w:cstheme="minorHAnsi"/>
          <w:sz w:val="22"/>
          <w:szCs w:val="22"/>
        </w:rPr>
        <w:t xml:space="preserve">: </w:t>
      </w:r>
      <w:hyperlink r:id="rId15" w:history="1">
        <w:hyperlink r:id="rId16" w:history="1">
          <w:r w:rsidR="009439FA" w:rsidRPr="002073B1">
            <w:rPr>
              <w:rStyle w:val="Hyperlink"/>
              <w:rFonts w:asciiTheme="minorHAnsi" w:hAnsiTheme="minorHAnsi" w:cstheme="minorHAnsi"/>
              <w:sz w:val="22"/>
              <w:szCs w:val="22"/>
            </w:rPr>
            <w:t>https://bit.ly/pbminfographic</w:t>
          </w:r>
        </w:hyperlink>
      </w:hyperlink>
    </w:p>
    <w:p w14:paraId="0CC0F3A3" w14:textId="77777777" w:rsidR="0094277A" w:rsidRPr="001A1FED" w:rsidRDefault="0094277A" w:rsidP="001775CC">
      <w:pPr>
        <w:pStyle w:val="ListParagraph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5B493603" w14:textId="51B67402" w:rsidR="001A1FED" w:rsidRPr="009439FA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17" w:history="1">
        <w:r w:rsidR="001A1FED" w:rsidRPr="0026479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991D62">
        <w:rPr>
          <w:rFonts w:asciiTheme="minorHAnsi" w:hAnsiTheme="minorHAnsi" w:cstheme="minorHAnsi"/>
          <w:sz w:val="22"/>
          <w:szCs w:val="22"/>
        </w:rPr>
        <w:t xml:space="preserve"> </w:t>
      </w:r>
      <w:r w:rsidR="000A311C">
        <w:rPr>
          <w:rFonts w:asciiTheme="minorHAnsi" w:hAnsiTheme="minorHAnsi" w:cstheme="minorHAnsi"/>
          <w:sz w:val="22"/>
          <w:szCs w:val="22"/>
        </w:rPr>
        <w:t xml:space="preserve">#PBMs </w:t>
      </w:r>
      <w:r w:rsidR="00312D57">
        <w:rPr>
          <w:rFonts w:asciiTheme="minorHAnsi" w:hAnsiTheme="minorHAnsi" w:cstheme="minorHAnsi"/>
          <w:sz w:val="22"/>
          <w:szCs w:val="22"/>
        </w:rPr>
        <w:t xml:space="preserve">frequently leave </w:t>
      </w:r>
      <w:r w:rsidR="00E8173D">
        <w:rPr>
          <w:rFonts w:asciiTheme="minorHAnsi" w:hAnsiTheme="minorHAnsi" w:cstheme="minorHAnsi"/>
          <w:sz w:val="22"/>
          <w:szCs w:val="22"/>
        </w:rPr>
        <w:t>treatments for</w:t>
      </w:r>
      <w:r w:rsidR="00312D57">
        <w:rPr>
          <w:rFonts w:asciiTheme="minorHAnsi" w:hAnsiTheme="minorHAnsi" w:cstheme="minorHAnsi"/>
          <w:sz w:val="22"/>
          <w:szCs w:val="22"/>
        </w:rPr>
        <w:t xml:space="preserve"> </w:t>
      </w:r>
      <w:r w:rsidR="00054D28">
        <w:rPr>
          <w:rFonts w:asciiTheme="minorHAnsi" w:hAnsiTheme="minorHAnsi" w:cstheme="minorHAnsi"/>
          <w:sz w:val="22"/>
          <w:szCs w:val="22"/>
        </w:rPr>
        <w:t xml:space="preserve">autoimmune </w:t>
      </w:r>
      <w:r w:rsidR="006F0027">
        <w:rPr>
          <w:rFonts w:asciiTheme="minorHAnsi" w:hAnsiTheme="minorHAnsi" w:cstheme="minorHAnsi"/>
          <w:sz w:val="22"/>
          <w:szCs w:val="22"/>
        </w:rPr>
        <w:t>and other chronic conditions</w:t>
      </w:r>
      <w:r w:rsidR="00312D57">
        <w:rPr>
          <w:rFonts w:asciiTheme="minorHAnsi" w:hAnsiTheme="minorHAnsi" w:cstheme="minorHAnsi"/>
          <w:sz w:val="22"/>
          <w:szCs w:val="22"/>
        </w:rPr>
        <w:t xml:space="preserve"> o</w:t>
      </w:r>
      <w:r w:rsidR="00CB179C">
        <w:rPr>
          <w:rFonts w:asciiTheme="minorHAnsi" w:hAnsiTheme="minorHAnsi" w:cstheme="minorHAnsi"/>
          <w:sz w:val="22"/>
          <w:szCs w:val="22"/>
        </w:rPr>
        <w:t>f</w:t>
      </w:r>
      <w:r w:rsidR="00312D57">
        <w:rPr>
          <w:rFonts w:asciiTheme="minorHAnsi" w:hAnsiTheme="minorHAnsi" w:cstheme="minorHAnsi"/>
          <w:sz w:val="22"/>
          <w:szCs w:val="22"/>
        </w:rPr>
        <w:t xml:space="preserve">f formularies, raising out-of-pocket costs for those Patients and </w:t>
      </w:r>
      <w:r w:rsidR="00D473F4">
        <w:rPr>
          <w:rFonts w:asciiTheme="minorHAnsi" w:hAnsiTheme="minorHAnsi" w:cstheme="minorHAnsi"/>
          <w:sz w:val="22"/>
          <w:szCs w:val="22"/>
        </w:rPr>
        <w:t>putting their long-term health at risk</w:t>
      </w:r>
      <w:r w:rsidR="00CB179C">
        <w:rPr>
          <w:rFonts w:asciiTheme="minorHAnsi" w:hAnsiTheme="minorHAnsi" w:cstheme="minorHAnsi"/>
          <w:sz w:val="22"/>
          <w:szCs w:val="22"/>
        </w:rPr>
        <w:t xml:space="preserve">. More from </w:t>
      </w:r>
      <w:r w:rsidR="00CB179C" w:rsidRPr="00F90658">
        <w:rPr>
          <w:rFonts w:asciiTheme="minorHAnsi" w:hAnsiTheme="minorHAnsi" w:cstheme="minorHAnsi"/>
          <w:sz w:val="22"/>
          <w:szCs w:val="22"/>
        </w:rPr>
        <w:t>@AutoimmuneAssoc President and CEO Molly Murray</w:t>
      </w:r>
      <w:r w:rsidR="00D473F4">
        <w:rPr>
          <w:rFonts w:asciiTheme="minorHAnsi" w:hAnsiTheme="minorHAnsi" w:cstheme="minorHAnsi"/>
          <w:sz w:val="22"/>
          <w:szCs w:val="22"/>
        </w:rPr>
        <w:t>:</w:t>
      </w:r>
      <w:r w:rsidR="00312D57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D473F4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https://bit.ly/pbm-blog</w:t>
        </w:r>
      </w:hyperlink>
    </w:p>
    <w:p w14:paraId="46A584E7" w14:textId="77777777" w:rsidR="009439FA" w:rsidRPr="009439FA" w:rsidRDefault="009439FA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1EE9CA3A" w14:textId="1E2B3B77" w:rsidR="001A1FED" w:rsidRPr="001A1FED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19" w:history="1">
        <w:r w:rsidR="001A1FED" w:rsidRPr="00834B6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EF35C3">
        <w:rPr>
          <w:rFonts w:asciiTheme="minorHAnsi" w:hAnsiTheme="minorHAnsi" w:cstheme="minorHAnsi"/>
          <w:sz w:val="22"/>
          <w:szCs w:val="22"/>
        </w:rPr>
        <w:t xml:space="preserve"> </w:t>
      </w:r>
      <w:r w:rsidR="006B4815">
        <w:rPr>
          <w:rFonts w:asciiTheme="minorHAnsi" w:hAnsiTheme="minorHAnsi" w:cstheme="minorHAnsi"/>
          <w:sz w:val="22"/>
          <w:szCs w:val="22"/>
        </w:rPr>
        <w:t>Without greater transparency, pharmacy benefit manager</w:t>
      </w:r>
      <w:r w:rsidR="0062084F">
        <w:rPr>
          <w:rFonts w:asciiTheme="minorHAnsi" w:hAnsiTheme="minorHAnsi" w:cstheme="minorHAnsi"/>
          <w:sz w:val="22"/>
          <w:szCs w:val="22"/>
        </w:rPr>
        <w:t xml:space="preserve">s </w:t>
      </w:r>
      <w:r w:rsidR="005230A1">
        <w:rPr>
          <w:rFonts w:asciiTheme="minorHAnsi" w:hAnsiTheme="minorHAnsi" w:cstheme="minorHAnsi"/>
          <w:sz w:val="22"/>
          <w:szCs w:val="22"/>
        </w:rPr>
        <w:t xml:space="preserve">(PBMs) </w:t>
      </w:r>
      <w:r w:rsidR="00397550">
        <w:rPr>
          <w:rFonts w:asciiTheme="minorHAnsi" w:hAnsiTheme="minorHAnsi" w:cstheme="minorHAnsi"/>
          <w:sz w:val="22"/>
          <w:szCs w:val="22"/>
        </w:rPr>
        <w:t xml:space="preserve">will continue </w:t>
      </w:r>
      <w:r w:rsidR="00436083">
        <w:rPr>
          <w:rFonts w:asciiTheme="minorHAnsi" w:hAnsiTheme="minorHAnsi" w:cstheme="minorHAnsi"/>
          <w:sz w:val="22"/>
          <w:szCs w:val="22"/>
        </w:rPr>
        <w:t xml:space="preserve">to implement practices that </w:t>
      </w:r>
      <w:r w:rsidR="00397550">
        <w:rPr>
          <w:rFonts w:asciiTheme="minorHAnsi" w:hAnsiTheme="minorHAnsi" w:cstheme="minorHAnsi"/>
          <w:sz w:val="22"/>
          <w:szCs w:val="22"/>
        </w:rPr>
        <w:t>take advantage of Patients</w:t>
      </w:r>
      <w:r w:rsidR="00C55ED2">
        <w:rPr>
          <w:rFonts w:asciiTheme="minorHAnsi" w:hAnsiTheme="minorHAnsi" w:cstheme="minorHAnsi"/>
          <w:sz w:val="22"/>
          <w:szCs w:val="22"/>
        </w:rPr>
        <w:t xml:space="preserve"> and</w:t>
      </w:r>
      <w:r w:rsidR="0062084F">
        <w:rPr>
          <w:rFonts w:asciiTheme="minorHAnsi" w:hAnsiTheme="minorHAnsi" w:cstheme="minorHAnsi"/>
          <w:sz w:val="22"/>
          <w:szCs w:val="22"/>
        </w:rPr>
        <w:t xml:space="preserve"> </w:t>
      </w:r>
      <w:r w:rsidR="005D43C6">
        <w:rPr>
          <w:rFonts w:asciiTheme="minorHAnsi" w:hAnsiTheme="minorHAnsi" w:cstheme="minorHAnsi"/>
          <w:sz w:val="22"/>
          <w:szCs w:val="22"/>
        </w:rPr>
        <w:t xml:space="preserve">threaten </w:t>
      </w:r>
      <w:r w:rsidR="005230A1">
        <w:rPr>
          <w:rFonts w:asciiTheme="minorHAnsi" w:hAnsiTheme="minorHAnsi" w:cstheme="minorHAnsi"/>
          <w:sz w:val="22"/>
          <w:szCs w:val="22"/>
        </w:rPr>
        <w:t>drug affordability</w:t>
      </w:r>
      <w:r w:rsidR="00B64AC5">
        <w:rPr>
          <w:rFonts w:asciiTheme="minorHAnsi" w:hAnsiTheme="minorHAnsi" w:cstheme="minorHAnsi"/>
          <w:sz w:val="22"/>
          <w:szCs w:val="22"/>
        </w:rPr>
        <w:t xml:space="preserve"> while turning a profit</w:t>
      </w:r>
      <w:r w:rsidR="005230A1">
        <w:rPr>
          <w:rFonts w:asciiTheme="minorHAnsi" w:hAnsiTheme="minorHAnsi" w:cstheme="minorHAnsi"/>
          <w:sz w:val="22"/>
          <w:szCs w:val="22"/>
        </w:rPr>
        <w:t>. Learn more about #PBM practices:</w:t>
      </w:r>
      <w:r w:rsidR="0062084F"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="0062084F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https://bit.ly/pbminfographic</w:t>
        </w:r>
      </w:hyperlink>
    </w:p>
    <w:p w14:paraId="04B18825" w14:textId="77777777" w:rsidR="00FA1848" w:rsidRDefault="00FA184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73C30872" w14:textId="6B8B8E5E" w:rsidR="00A7351B" w:rsidRDefault="00B650CE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r w:rsidRPr="00A7351B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t>Shareable Graphic</w:t>
      </w:r>
    </w:p>
    <w:p w14:paraId="5F08ED0B" w14:textId="77777777" w:rsidR="00A535D5" w:rsidRPr="008450BA" w:rsidRDefault="00A535D5" w:rsidP="001775CC">
      <w:pPr>
        <w:rPr>
          <w:rFonts w:asciiTheme="minorHAnsi" w:hAnsiTheme="minorHAnsi" w:cstheme="minorHAnsi"/>
          <w:color w:val="002060"/>
          <w:sz w:val="22"/>
          <w:szCs w:val="22"/>
        </w:rPr>
      </w:pPr>
    </w:p>
    <w:p w14:paraId="47257FEC" w14:textId="6BAD55D7" w:rsidR="00B650CE" w:rsidRPr="00A7351B" w:rsidRDefault="00B650CE" w:rsidP="001775CC">
      <w:pPr>
        <w:rPr>
          <w:rFonts w:asciiTheme="minorHAnsi" w:hAnsiTheme="minorHAnsi" w:cstheme="minorHAnsi"/>
          <w:i/>
          <w:iCs/>
          <w:color w:val="00206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17FFA00" wp14:editId="09D627ED">
            <wp:extent cx="4434840" cy="2496312"/>
            <wp:effectExtent l="19050" t="19050" r="22860" b="18415"/>
            <wp:docPr id="1986799275" name="Picture 1" descr="A person's hands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99275" name="Picture 1" descr="A person's hands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49631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204F3E" w14:textId="1C27FA9F" w:rsidR="00B650CE" w:rsidRDefault="00B650CE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578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Right click and select “save as picture” to save locally to your computer.</w:t>
      </w:r>
    </w:p>
    <w:p w14:paraId="14C6B44B" w14:textId="77777777" w:rsidR="00B650CE" w:rsidRDefault="00B650CE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6CCBBA0F" w14:textId="105622B8" w:rsidR="00ED1A4D" w:rsidRPr="00B76373" w:rsidRDefault="00ED1A4D" w:rsidP="001775CC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2" w:name="_The_Inflation_Reduction"/>
      <w:bookmarkEnd w:id="2"/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 xml:space="preserve">The Inflation Reduction Act </w:t>
      </w:r>
      <w:r w:rsidR="00597055" w:rsidRPr="00B76373">
        <w:rPr>
          <w:rFonts w:asciiTheme="minorHAnsi" w:hAnsiTheme="minorHAnsi" w:cstheme="minorHAnsi"/>
          <w:b/>
          <w:bCs/>
          <w:i/>
          <w:iCs/>
          <w:u w:val="single"/>
        </w:rPr>
        <w:t>(IRA) &amp; Medicare Drug Price Negotiation Program (MDPNP)</w:t>
      </w:r>
    </w:p>
    <w:p w14:paraId="5D63E294" w14:textId="77777777" w:rsidR="00A56EB8" w:rsidRPr="001A1FED" w:rsidRDefault="00A56EB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7D5D84E4" w14:textId="1451B75C" w:rsidR="001A1FED" w:rsidRPr="00A65683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22" w:history="1">
        <w:r w:rsidR="001A1FED" w:rsidRPr="008D1A9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0137A2">
        <w:rPr>
          <w:rFonts w:asciiTheme="minorHAnsi" w:hAnsiTheme="minorHAnsi" w:cstheme="minorHAnsi"/>
          <w:sz w:val="22"/>
          <w:szCs w:val="22"/>
        </w:rPr>
        <w:t xml:space="preserve"> </w:t>
      </w:r>
      <w:r w:rsidR="00FD31B5">
        <w:rPr>
          <w:rFonts w:asciiTheme="minorHAnsi" w:hAnsiTheme="minorHAnsi" w:cstheme="minorHAnsi"/>
          <w:sz w:val="22"/>
          <w:szCs w:val="22"/>
        </w:rPr>
        <w:t>Price controls aren’t the so</w:t>
      </w:r>
      <w:r w:rsidR="00B65FB3">
        <w:rPr>
          <w:rFonts w:asciiTheme="minorHAnsi" w:hAnsiTheme="minorHAnsi" w:cstheme="minorHAnsi"/>
          <w:sz w:val="22"/>
          <w:szCs w:val="22"/>
        </w:rPr>
        <w:t xml:space="preserve">lution to high </w:t>
      </w:r>
      <w:r w:rsidR="00481231">
        <w:rPr>
          <w:rFonts w:asciiTheme="minorHAnsi" w:hAnsiTheme="minorHAnsi" w:cstheme="minorHAnsi"/>
          <w:sz w:val="22"/>
          <w:szCs w:val="22"/>
        </w:rPr>
        <w:t xml:space="preserve">Patient </w:t>
      </w:r>
      <w:r w:rsidR="00B65FB3">
        <w:rPr>
          <w:rFonts w:asciiTheme="minorHAnsi" w:hAnsiTheme="minorHAnsi" w:cstheme="minorHAnsi"/>
          <w:sz w:val="22"/>
          <w:szCs w:val="22"/>
        </w:rPr>
        <w:t xml:space="preserve">costs. </w:t>
      </w:r>
      <w:r w:rsidR="00597055">
        <w:rPr>
          <w:rFonts w:asciiTheme="minorHAnsi" w:hAnsiTheme="minorHAnsi" w:cstheme="minorHAnsi"/>
          <w:sz w:val="22"/>
          <w:szCs w:val="22"/>
        </w:rPr>
        <w:t xml:space="preserve">The </w:t>
      </w:r>
      <w:r w:rsidR="00AD1FB8">
        <w:rPr>
          <w:rFonts w:asciiTheme="minorHAnsi" w:hAnsiTheme="minorHAnsi" w:cstheme="minorHAnsi"/>
          <w:sz w:val="22"/>
          <w:szCs w:val="22"/>
        </w:rPr>
        <w:t>Inflation Reduc</w:t>
      </w:r>
      <w:r w:rsidR="00FA2F8D">
        <w:rPr>
          <w:rFonts w:asciiTheme="minorHAnsi" w:hAnsiTheme="minorHAnsi" w:cstheme="minorHAnsi"/>
          <w:sz w:val="22"/>
          <w:szCs w:val="22"/>
        </w:rPr>
        <w:t>t</w:t>
      </w:r>
      <w:r w:rsidR="00AD1FB8">
        <w:rPr>
          <w:rFonts w:asciiTheme="minorHAnsi" w:hAnsiTheme="minorHAnsi" w:cstheme="minorHAnsi"/>
          <w:sz w:val="22"/>
          <w:szCs w:val="22"/>
        </w:rPr>
        <w:t>ion Act</w:t>
      </w:r>
      <w:r w:rsidR="00597055">
        <w:rPr>
          <w:rFonts w:asciiTheme="minorHAnsi" w:hAnsiTheme="minorHAnsi" w:cstheme="minorHAnsi"/>
          <w:sz w:val="22"/>
          <w:szCs w:val="22"/>
        </w:rPr>
        <w:t>’s price “negotiation” policy</w:t>
      </w:r>
      <w:r w:rsidR="00B65FB3">
        <w:rPr>
          <w:rFonts w:asciiTheme="minorHAnsi" w:hAnsiTheme="minorHAnsi" w:cstheme="minorHAnsi"/>
          <w:sz w:val="22"/>
          <w:szCs w:val="22"/>
        </w:rPr>
        <w:t xml:space="preserve"> </w:t>
      </w:r>
      <w:r w:rsidR="003D0461">
        <w:rPr>
          <w:rFonts w:asciiTheme="minorHAnsi" w:hAnsiTheme="minorHAnsi" w:cstheme="minorHAnsi"/>
          <w:sz w:val="22"/>
          <w:szCs w:val="22"/>
        </w:rPr>
        <w:t xml:space="preserve">ignores underlying </w:t>
      </w:r>
      <w:r w:rsidR="00597055">
        <w:rPr>
          <w:rFonts w:asciiTheme="minorHAnsi" w:hAnsiTheme="minorHAnsi" w:cstheme="minorHAnsi"/>
          <w:sz w:val="22"/>
          <w:szCs w:val="22"/>
        </w:rPr>
        <w:t xml:space="preserve">causes of </w:t>
      </w:r>
      <w:r w:rsidR="00874E56">
        <w:rPr>
          <w:rFonts w:asciiTheme="minorHAnsi" w:hAnsiTheme="minorHAnsi" w:cstheme="minorHAnsi"/>
          <w:sz w:val="22"/>
          <w:szCs w:val="22"/>
        </w:rPr>
        <w:t>high prices at the pharmacy counter</w:t>
      </w:r>
      <w:r w:rsidR="00693AEE">
        <w:rPr>
          <w:rFonts w:asciiTheme="minorHAnsi" w:hAnsiTheme="minorHAnsi" w:cstheme="minorHAnsi"/>
          <w:sz w:val="22"/>
          <w:szCs w:val="22"/>
        </w:rPr>
        <w:t xml:space="preserve">. </w:t>
      </w:r>
      <w:r w:rsidR="004371A8">
        <w:rPr>
          <w:rFonts w:asciiTheme="minorHAnsi" w:hAnsiTheme="minorHAnsi" w:cstheme="minorHAnsi"/>
          <w:sz w:val="22"/>
          <w:szCs w:val="22"/>
        </w:rPr>
        <w:t xml:space="preserve">More </w:t>
      </w:r>
      <w:r w:rsidR="00BC6F9E">
        <w:rPr>
          <w:rFonts w:asciiTheme="minorHAnsi" w:hAnsiTheme="minorHAnsi" w:cstheme="minorHAnsi"/>
          <w:sz w:val="22"/>
          <w:szCs w:val="22"/>
        </w:rPr>
        <w:t xml:space="preserve">about the </w:t>
      </w:r>
      <w:r w:rsidR="00AD1FB8">
        <w:rPr>
          <w:rFonts w:asciiTheme="minorHAnsi" w:hAnsiTheme="minorHAnsi" w:cstheme="minorHAnsi"/>
          <w:sz w:val="22"/>
          <w:szCs w:val="22"/>
        </w:rPr>
        <w:t>#</w:t>
      </w:r>
      <w:r w:rsidR="00BC6F9E">
        <w:rPr>
          <w:rFonts w:asciiTheme="minorHAnsi" w:hAnsiTheme="minorHAnsi" w:cstheme="minorHAnsi"/>
          <w:sz w:val="22"/>
          <w:szCs w:val="22"/>
        </w:rPr>
        <w:t xml:space="preserve">IRA </w:t>
      </w:r>
      <w:r w:rsidR="004C2BAB">
        <w:rPr>
          <w:rFonts w:asciiTheme="minorHAnsi" w:hAnsiTheme="minorHAnsi" w:cstheme="minorHAnsi"/>
          <w:sz w:val="22"/>
          <w:szCs w:val="22"/>
        </w:rPr>
        <w:t xml:space="preserve">from </w:t>
      </w:r>
      <w:r w:rsidR="00B64AC5">
        <w:rPr>
          <w:rFonts w:asciiTheme="minorHAnsi" w:hAnsiTheme="minorHAnsi" w:cstheme="minorHAnsi"/>
          <w:sz w:val="22"/>
          <w:szCs w:val="22"/>
        </w:rPr>
        <w:t>@</w:t>
      </w:r>
      <w:r w:rsidR="00874E56">
        <w:rPr>
          <w:rFonts w:asciiTheme="minorHAnsi" w:hAnsiTheme="minorHAnsi" w:cstheme="minorHAnsi"/>
          <w:sz w:val="22"/>
          <w:szCs w:val="22"/>
        </w:rPr>
        <w:t>BioNJ</w:t>
      </w:r>
      <w:r w:rsidR="00B64AC5">
        <w:rPr>
          <w:rFonts w:asciiTheme="minorHAnsi" w:hAnsiTheme="minorHAnsi" w:cstheme="minorHAnsi"/>
          <w:sz w:val="22"/>
          <w:szCs w:val="22"/>
        </w:rPr>
        <w:t>_Org</w:t>
      </w:r>
      <w:r w:rsidR="004C2BAB">
        <w:rPr>
          <w:rFonts w:asciiTheme="minorHAnsi" w:hAnsiTheme="minorHAnsi" w:cstheme="minorHAnsi"/>
          <w:sz w:val="22"/>
          <w:szCs w:val="22"/>
        </w:rPr>
        <w:t xml:space="preserve"> CEO, Debbie Har</w:t>
      </w:r>
      <w:r w:rsidR="00FA2F8D">
        <w:rPr>
          <w:rFonts w:asciiTheme="minorHAnsi" w:hAnsiTheme="minorHAnsi" w:cstheme="minorHAnsi"/>
          <w:sz w:val="22"/>
          <w:szCs w:val="22"/>
        </w:rPr>
        <w:t>t</w:t>
      </w:r>
      <w:r w:rsidR="004371A8">
        <w:rPr>
          <w:rFonts w:asciiTheme="minorHAnsi" w:hAnsiTheme="minorHAnsi" w:cstheme="minorHAnsi"/>
          <w:sz w:val="22"/>
          <w:szCs w:val="22"/>
        </w:rPr>
        <w:t xml:space="preserve">: </w:t>
      </w:r>
      <w:hyperlink r:id="rId23" w:history="1">
        <w:r w:rsidR="00A65683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https://bit.ly/IRA-blog</w:t>
        </w:r>
      </w:hyperlink>
    </w:p>
    <w:p w14:paraId="0A1EF8DB" w14:textId="77777777" w:rsidR="00FA2F8D" w:rsidRPr="00A65683" w:rsidRDefault="00FA2F8D" w:rsidP="001775CC">
      <w:pPr>
        <w:pStyle w:val="ListParagraph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6771A556" w14:textId="06B37A11" w:rsidR="00A65683" w:rsidRPr="00A65683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24" w:history="1">
        <w:r w:rsidR="001A1FED" w:rsidRPr="00C617C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 w:rsidRPr="00482875">
        <w:rPr>
          <w:rFonts w:asciiTheme="minorHAnsi" w:hAnsiTheme="minorHAnsi" w:cstheme="minorHAnsi"/>
          <w:sz w:val="22"/>
          <w:szCs w:val="22"/>
        </w:rPr>
        <w:t>:</w:t>
      </w:r>
      <w:r w:rsidR="00A822A9" w:rsidRPr="00482875">
        <w:rPr>
          <w:rFonts w:asciiTheme="minorHAnsi" w:hAnsiTheme="minorHAnsi" w:cstheme="minorHAnsi"/>
          <w:sz w:val="22"/>
          <w:szCs w:val="22"/>
        </w:rPr>
        <w:t xml:space="preserve"> Price </w:t>
      </w:r>
      <w:r w:rsidR="00874E56">
        <w:rPr>
          <w:rFonts w:asciiTheme="minorHAnsi" w:hAnsiTheme="minorHAnsi" w:cstheme="minorHAnsi"/>
          <w:sz w:val="22"/>
          <w:szCs w:val="22"/>
        </w:rPr>
        <w:t>“negotiation” policies</w:t>
      </w:r>
      <w:r w:rsidR="00A822A9" w:rsidRPr="00482875">
        <w:rPr>
          <w:rFonts w:asciiTheme="minorHAnsi" w:hAnsiTheme="minorHAnsi" w:cstheme="minorHAnsi"/>
          <w:sz w:val="22"/>
          <w:szCs w:val="22"/>
        </w:rPr>
        <w:t xml:space="preserve"> in the </w:t>
      </w:r>
      <w:r w:rsidR="00E26FEF" w:rsidRPr="00482875">
        <w:rPr>
          <w:rFonts w:asciiTheme="minorHAnsi" w:hAnsiTheme="minorHAnsi" w:cstheme="minorHAnsi"/>
          <w:sz w:val="22"/>
          <w:szCs w:val="22"/>
        </w:rPr>
        <w:t>Inflation Reduction Act</w:t>
      </w:r>
      <w:r w:rsidR="00064774">
        <w:rPr>
          <w:rFonts w:asciiTheme="minorHAnsi" w:hAnsiTheme="minorHAnsi" w:cstheme="minorHAnsi"/>
          <w:sz w:val="22"/>
          <w:szCs w:val="22"/>
        </w:rPr>
        <w:t xml:space="preserve"> (IRA)</w:t>
      </w:r>
      <w:r w:rsidR="00A822A9" w:rsidRPr="00482875">
        <w:rPr>
          <w:rFonts w:asciiTheme="minorHAnsi" w:hAnsiTheme="minorHAnsi" w:cstheme="minorHAnsi"/>
          <w:sz w:val="22"/>
          <w:szCs w:val="22"/>
        </w:rPr>
        <w:t xml:space="preserve"> </w:t>
      </w:r>
      <w:r w:rsidR="005760D3">
        <w:rPr>
          <w:rFonts w:asciiTheme="minorHAnsi" w:hAnsiTheme="minorHAnsi" w:cstheme="minorHAnsi"/>
          <w:sz w:val="22"/>
          <w:szCs w:val="22"/>
        </w:rPr>
        <w:t xml:space="preserve">will limit Patients’ access to care – and </w:t>
      </w:r>
      <w:r w:rsidR="00405C8C">
        <w:rPr>
          <w:rFonts w:asciiTheme="minorHAnsi" w:hAnsiTheme="minorHAnsi" w:cstheme="minorHAnsi"/>
          <w:sz w:val="22"/>
          <w:szCs w:val="22"/>
        </w:rPr>
        <w:t xml:space="preserve">won’t </w:t>
      </w:r>
      <w:r w:rsidR="005D5C58">
        <w:rPr>
          <w:rFonts w:asciiTheme="minorHAnsi" w:hAnsiTheme="minorHAnsi" w:cstheme="minorHAnsi"/>
          <w:sz w:val="22"/>
          <w:szCs w:val="22"/>
        </w:rPr>
        <w:t>lower out-of-pocket costs</w:t>
      </w:r>
      <w:r w:rsidR="00A822A9" w:rsidRPr="00482875">
        <w:rPr>
          <w:rFonts w:asciiTheme="minorHAnsi" w:hAnsiTheme="minorHAnsi" w:cstheme="minorHAnsi"/>
          <w:sz w:val="22"/>
          <w:szCs w:val="22"/>
        </w:rPr>
        <w:t>.</w:t>
      </w:r>
      <w:r w:rsidR="00DB7C71" w:rsidRPr="00482875">
        <w:rPr>
          <w:rFonts w:asciiTheme="minorHAnsi" w:hAnsiTheme="minorHAnsi" w:cstheme="minorHAnsi"/>
          <w:sz w:val="22"/>
          <w:szCs w:val="22"/>
        </w:rPr>
        <w:t xml:space="preserve"> </w:t>
      </w:r>
      <w:r w:rsidR="00064774">
        <w:rPr>
          <w:rFonts w:asciiTheme="minorHAnsi" w:hAnsiTheme="minorHAnsi" w:cstheme="minorHAnsi"/>
          <w:sz w:val="22"/>
          <w:szCs w:val="22"/>
        </w:rPr>
        <w:t xml:space="preserve">Check out </w:t>
      </w:r>
      <w:r w:rsidR="0094277A">
        <w:rPr>
          <w:rFonts w:asciiTheme="minorHAnsi" w:hAnsiTheme="minorHAnsi" w:cstheme="minorHAnsi"/>
          <w:sz w:val="22"/>
          <w:szCs w:val="22"/>
        </w:rPr>
        <w:t xml:space="preserve">these resources to </w:t>
      </w:r>
      <w:r w:rsidR="00545E1A" w:rsidRPr="00482875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F559FD" w:rsidRPr="00482875">
        <w:rPr>
          <w:rFonts w:asciiTheme="minorHAnsi" w:hAnsiTheme="minorHAnsi" w:cstheme="minorHAnsi"/>
          <w:sz w:val="22"/>
          <w:szCs w:val="22"/>
        </w:rPr>
        <w:t xml:space="preserve">earn more about </w:t>
      </w:r>
      <w:r w:rsidR="00E26FEF" w:rsidRPr="00482875">
        <w:rPr>
          <w:rFonts w:asciiTheme="minorHAnsi" w:hAnsiTheme="minorHAnsi" w:cstheme="minorHAnsi"/>
          <w:sz w:val="22"/>
          <w:szCs w:val="22"/>
        </w:rPr>
        <w:t>the #IRA and its impact on vulnerable Patient populations</w:t>
      </w:r>
      <w:r w:rsidR="00FD31B5" w:rsidRPr="00482875">
        <w:rPr>
          <w:rFonts w:asciiTheme="minorHAnsi" w:hAnsiTheme="minorHAnsi" w:cstheme="minorHAnsi"/>
          <w:sz w:val="22"/>
          <w:szCs w:val="22"/>
        </w:rPr>
        <w:t xml:space="preserve">: </w:t>
      </w:r>
      <w:hyperlink r:id="rId25" w:history="1">
        <w:r w:rsidR="00A65683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https://bit.ly/resources-IRA</w:t>
        </w:r>
      </w:hyperlink>
    </w:p>
    <w:p w14:paraId="5C27608A" w14:textId="77777777" w:rsidR="00482875" w:rsidRPr="00482875" w:rsidRDefault="00482875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691AA1AF" w14:textId="3E95E9EC" w:rsidR="00482875" w:rsidRPr="00A65683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26" w:history="1">
        <w:r w:rsidR="001A1FED" w:rsidRPr="0079408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DB7C71" w:rsidRPr="00377764">
        <w:rPr>
          <w:rFonts w:asciiTheme="minorHAnsi" w:hAnsiTheme="minorHAnsi" w:cstheme="minorHAnsi"/>
          <w:sz w:val="22"/>
          <w:szCs w:val="22"/>
        </w:rPr>
        <w:t xml:space="preserve">: </w:t>
      </w:r>
      <w:r w:rsidR="00874E56">
        <w:rPr>
          <w:rFonts w:asciiTheme="minorHAnsi" w:hAnsiTheme="minorHAnsi" w:cstheme="minorHAnsi"/>
          <w:sz w:val="22"/>
          <w:szCs w:val="22"/>
        </w:rPr>
        <w:t>Research</w:t>
      </w:r>
      <w:r w:rsidR="00874E56" w:rsidRPr="00377764">
        <w:rPr>
          <w:rFonts w:asciiTheme="minorHAnsi" w:hAnsiTheme="minorHAnsi" w:cstheme="minorHAnsi"/>
          <w:sz w:val="22"/>
          <w:szCs w:val="22"/>
        </w:rPr>
        <w:t xml:space="preserve"> </w:t>
      </w:r>
      <w:r w:rsidR="008433BF" w:rsidRPr="00377764">
        <w:rPr>
          <w:rFonts w:asciiTheme="minorHAnsi" w:hAnsiTheme="minorHAnsi" w:cstheme="minorHAnsi"/>
          <w:sz w:val="22"/>
          <w:szCs w:val="22"/>
        </w:rPr>
        <w:t>show</w:t>
      </w:r>
      <w:r w:rsidR="00874E56">
        <w:rPr>
          <w:rFonts w:asciiTheme="minorHAnsi" w:hAnsiTheme="minorHAnsi" w:cstheme="minorHAnsi"/>
          <w:sz w:val="22"/>
          <w:szCs w:val="22"/>
        </w:rPr>
        <w:t>s</w:t>
      </w:r>
      <w:r w:rsidR="008433BF" w:rsidRPr="00377764">
        <w:rPr>
          <w:rFonts w:asciiTheme="minorHAnsi" w:hAnsiTheme="minorHAnsi" w:cstheme="minorHAnsi"/>
          <w:sz w:val="22"/>
          <w:szCs w:val="22"/>
        </w:rPr>
        <w:t xml:space="preserve"> that </w:t>
      </w:r>
      <w:r w:rsidR="00BB3A54" w:rsidRPr="00377764">
        <w:rPr>
          <w:rFonts w:asciiTheme="minorHAnsi" w:hAnsiTheme="minorHAnsi" w:cstheme="minorHAnsi"/>
          <w:sz w:val="22"/>
          <w:szCs w:val="22"/>
        </w:rPr>
        <w:t>#</w:t>
      </w:r>
      <w:r w:rsidR="008433BF" w:rsidRPr="00377764">
        <w:rPr>
          <w:rFonts w:asciiTheme="minorHAnsi" w:hAnsiTheme="minorHAnsi" w:cstheme="minorHAnsi"/>
          <w:sz w:val="22"/>
          <w:szCs w:val="22"/>
        </w:rPr>
        <w:t xml:space="preserve">IRA </w:t>
      </w:r>
      <w:r w:rsidR="00BB3A54" w:rsidRPr="00377764">
        <w:rPr>
          <w:rFonts w:asciiTheme="minorHAnsi" w:hAnsiTheme="minorHAnsi" w:cstheme="minorHAnsi"/>
          <w:sz w:val="22"/>
          <w:szCs w:val="22"/>
        </w:rPr>
        <w:t xml:space="preserve">price-setting </w:t>
      </w:r>
      <w:r w:rsidR="008433BF" w:rsidRPr="00377764">
        <w:rPr>
          <w:rFonts w:asciiTheme="minorHAnsi" w:hAnsiTheme="minorHAnsi" w:cstheme="minorHAnsi"/>
          <w:sz w:val="22"/>
          <w:szCs w:val="22"/>
        </w:rPr>
        <w:t>provisions will result in 135 less cancer drug approvals and 551 fewer HIV/AIDS clinical trials</w:t>
      </w:r>
      <w:r w:rsidR="00F67906" w:rsidRPr="00377764">
        <w:rPr>
          <w:rFonts w:asciiTheme="minorHAnsi" w:hAnsiTheme="minorHAnsi" w:cstheme="minorHAnsi"/>
          <w:sz w:val="22"/>
          <w:szCs w:val="22"/>
        </w:rPr>
        <w:t xml:space="preserve"> by 2039</w:t>
      </w:r>
      <w:r w:rsidR="00377764">
        <w:rPr>
          <w:rFonts w:asciiTheme="minorHAnsi" w:hAnsiTheme="minorHAnsi" w:cstheme="minorHAnsi"/>
          <w:sz w:val="22"/>
          <w:szCs w:val="22"/>
        </w:rPr>
        <w:t xml:space="preserve">. Learn more about the threat to innovation </w:t>
      </w:r>
      <w:r w:rsidR="00481231">
        <w:rPr>
          <w:rFonts w:asciiTheme="minorHAnsi" w:hAnsiTheme="minorHAnsi" w:cstheme="minorHAnsi"/>
          <w:sz w:val="22"/>
          <w:szCs w:val="22"/>
        </w:rPr>
        <w:t xml:space="preserve">and Patients </w:t>
      </w:r>
      <w:r w:rsidR="007C7B3A">
        <w:rPr>
          <w:rFonts w:asciiTheme="minorHAnsi" w:hAnsiTheme="minorHAnsi" w:cstheme="minorHAnsi"/>
          <w:sz w:val="22"/>
          <w:szCs w:val="22"/>
        </w:rPr>
        <w:t>posed by the</w:t>
      </w:r>
      <w:r w:rsidR="00482875">
        <w:rPr>
          <w:rFonts w:asciiTheme="minorHAnsi" w:hAnsiTheme="minorHAnsi" w:cstheme="minorHAnsi"/>
          <w:sz w:val="22"/>
          <w:szCs w:val="22"/>
        </w:rPr>
        <w:t xml:space="preserve"> IRA: </w:t>
      </w:r>
      <w:hyperlink r:id="rId27" w:history="1">
        <w:r w:rsidR="00A65683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https://bit.ly/IRA-blog</w:t>
        </w:r>
      </w:hyperlink>
    </w:p>
    <w:p w14:paraId="0762046C" w14:textId="77777777" w:rsidR="00FA1848" w:rsidRDefault="00FA184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5CA1DAF2" w14:textId="1D5F1D5E" w:rsidR="00ED1A4D" w:rsidRPr="00A7351B" w:rsidRDefault="00B650CE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r w:rsidRPr="00A7351B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t>Shareable Graphic</w:t>
      </w:r>
    </w:p>
    <w:p w14:paraId="34C2352A" w14:textId="16B5D379" w:rsidR="00B650CE" w:rsidRDefault="00B650CE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97E56D0" w14:textId="587E8965" w:rsidR="00B650CE" w:rsidRDefault="00A56EB8" w:rsidP="001775CC">
      <w:pPr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noProof/>
          <w:color w:val="002060"/>
          <w:sz w:val="22"/>
          <w:szCs w:val="22"/>
        </w:rPr>
        <w:drawing>
          <wp:inline distT="0" distB="0" distL="0" distR="0" wp14:anchorId="51375164" wp14:editId="5F4D63FA">
            <wp:extent cx="4453128" cy="2505456"/>
            <wp:effectExtent l="19050" t="19050" r="24130" b="28575"/>
            <wp:docPr id="1078392830" name="Picture 10" descr="A person talking to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92830" name="Picture 10" descr="A person talking to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28" cy="250545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3C0277" w14:textId="77777777" w:rsidR="00B650CE" w:rsidRDefault="00B650CE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578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Right click and select “save as picture” to save locally to your computer.</w:t>
      </w:r>
    </w:p>
    <w:p w14:paraId="67EEAF58" w14:textId="77777777" w:rsidR="00B650CE" w:rsidRPr="00A65683" w:rsidRDefault="00B650CE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27357B31" w14:textId="100458F2" w:rsidR="00ED1A4D" w:rsidRPr="00B76373" w:rsidRDefault="00597055" w:rsidP="001775CC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3" w:name="_The_Institute_for"/>
      <w:bookmarkEnd w:id="3"/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>The Institute for Clinical and Economic Review (</w:t>
      </w:r>
      <w:r w:rsidR="00ED1A4D" w:rsidRPr="00B76373">
        <w:rPr>
          <w:rFonts w:asciiTheme="minorHAnsi" w:hAnsiTheme="minorHAnsi" w:cstheme="minorHAnsi"/>
          <w:b/>
          <w:bCs/>
          <w:i/>
          <w:iCs/>
          <w:u w:val="single"/>
        </w:rPr>
        <w:t>ICER</w:t>
      </w:r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>) &amp; Discriminatory Value Assessment Methodologies</w:t>
      </w:r>
      <w:r w:rsidR="00ED1A4D" w:rsidRPr="00B76373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</w:p>
    <w:p w14:paraId="548FA151" w14:textId="77777777" w:rsidR="00C05AE8" w:rsidRPr="001A1FED" w:rsidRDefault="00C05AE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2F6B2702" w14:textId="46735984" w:rsidR="001A1FED" w:rsidRPr="00B96AC8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29" w:history="1">
        <w:r w:rsidR="001A1FED" w:rsidRPr="0079408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C66796">
        <w:rPr>
          <w:rFonts w:asciiTheme="minorHAnsi" w:hAnsiTheme="minorHAnsi" w:cstheme="minorHAnsi"/>
          <w:sz w:val="22"/>
          <w:szCs w:val="22"/>
        </w:rPr>
        <w:t xml:space="preserve"> </w:t>
      </w:r>
      <w:r w:rsidR="00944D40">
        <w:rPr>
          <w:rFonts w:asciiTheme="minorHAnsi" w:hAnsiTheme="minorHAnsi" w:cstheme="minorHAnsi"/>
          <w:sz w:val="22"/>
          <w:szCs w:val="22"/>
        </w:rPr>
        <w:t>By using cost</w:t>
      </w:r>
      <w:r w:rsidR="00FD6444">
        <w:rPr>
          <w:rFonts w:asciiTheme="minorHAnsi" w:hAnsiTheme="minorHAnsi" w:cstheme="minorHAnsi"/>
          <w:sz w:val="22"/>
          <w:szCs w:val="22"/>
        </w:rPr>
        <w:t>-effectiveness methodologies like the QALY</w:t>
      </w:r>
      <w:r w:rsidR="000F6F1E">
        <w:rPr>
          <w:rFonts w:asciiTheme="minorHAnsi" w:hAnsiTheme="minorHAnsi" w:cstheme="minorHAnsi"/>
          <w:sz w:val="22"/>
          <w:szCs w:val="22"/>
        </w:rPr>
        <w:t xml:space="preserve"> to determine drug prices, ICER</w:t>
      </w:r>
      <w:r w:rsidR="00E66959">
        <w:rPr>
          <w:rFonts w:asciiTheme="minorHAnsi" w:hAnsiTheme="minorHAnsi" w:cstheme="minorHAnsi"/>
          <w:sz w:val="22"/>
          <w:szCs w:val="22"/>
        </w:rPr>
        <w:t xml:space="preserve"> </w:t>
      </w:r>
      <w:r w:rsidR="00B53A39">
        <w:rPr>
          <w:rFonts w:asciiTheme="minorHAnsi" w:hAnsiTheme="minorHAnsi" w:cstheme="minorHAnsi"/>
          <w:sz w:val="22"/>
          <w:szCs w:val="22"/>
        </w:rPr>
        <w:t>discriminates against Patients with disabilities and rare or chronic diseases</w:t>
      </w:r>
      <w:r w:rsidR="00BC14EB">
        <w:rPr>
          <w:rFonts w:asciiTheme="minorHAnsi" w:hAnsiTheme="minorHAnsi" w:cstheme="minorHAnsi"/>
          <w:sz w:val="22"/>
          <w:szCs w:val="22"/>
        </w:rPr>
        <w:t xml:space="preserve"> and </w:t>
      </w:r>
      <w:r w:rsidR="00B53A39">
        <w:rPr>
          <w:rFonts w:asciiTheme="minorHAnsi" w:hAnsiTheme="minorHAnsi" w:cstheme="minorHAnsi"/>
          <w:sz w:val="22"/>
          <w:szCs w:val="22"/>
        </w:rPr>
        <w:t>threaten</w:t>
      </w:r>
      <w:r w:rsidR="00BC14EB">
        <w:rPr>
          <w:rFonts w:asciiTheme="minorHAnsi" w:hAnsiTheme="minorHAnsi" w:cstheme="minorHAnsi"/>
          <w:sz w:val="22"/>
          <w:szCs w:val="22"/>
        </w:rPr>
        <w:t>s</w:t>
      </w:r>
      <w:r w:rsidR="00B53A39">
        <w:rPr>
          <w:rFonts w:asciiTheme="minorHAnsi" w:hAnsiTheme="minorHAnsi" w:cstheme="minorHAnsi"/>
          <w:sz w:val="22"/>
          <w:szCs w:val="22"/>
        </w:rPr>
        <w:t xml:space="preserve"> their access to treatment</w:t>
      </w:r>
      <w:r w:rsidR="00B64AC5">
        <w:rPr>
          <w:rFonts w:asciiTheme="minorHAnsi" w:hAnsiTheme="minorHAnsi" w:cstheme="minorHAnsi"/>
          <w:sz w:val="22"/>
          <w:szCs w:val="22"/>
        </w:rPr>
        <w:t>. Learn more:</w:t>
      </w:r>
      <w:r w:rsidR="00D038D9">
        <w:rPr>
          <w:rFonts w:asciiTheme="minorHAnsi" w:hAnsiTheme="minorHAnsi" w:cstheme="minorHAnsi"/>
          <w:sz w:val="22"/>
          <w:szCs w:val="22"/>
        </w:rPr>
        <w:t xml:space="preserve"> </w:t>
      </w:r>
      <w:hyperlink r:id="rId30" w:history="1">
        <w:r w:rsidR="00B96AC8" w:rsidRPr="008971B1">
          <w:rPr>
            <w:rStyle w:val="Hyperlink"/>
            <w:rFonts w:asciiTheme="minorHAnsi" w:hAnsiTheme="minorHAnsi" w:cstheme="minorHAnsi"/>
            <w:sz w:val="22"/>
            <w:szCs w:val="22"/>
          </w:rPr>
          <w:t>https://bit.ly/ICER-infographic</w:t>
        </w:r>
      </w:hyperlink>
    </w:p>
    <w:p w14:paraId="7C536156" w14:textId="77777777" w:rsidR="002C139F" w:rsidRPr="00B96AC8" w:rsidRDefault="002C139F" w:rsidP="001775CC">
      <w:pPr>
        <w:pStyle w:val="ListParagraph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6458D734" w14:textId="34E27B29" w:rsidR="00D46767" w:rsidRPr="00A65683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31" w:history="1">
        <w:r w:rsidR="001A1FED" w:rsidRPr="0081110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>
        <w:rPr>
          <w:rFonts w:asciiTheme="minorHAnsi" w:hAnsiTheme="minorHAnsi" w:cstheme="minorHAnsi"/>
          <w:sz w:val="22"/>
          <w:szCs w:val="22"/>
        </w:rPr>
        <w:t>:</w:t>
      </w:r>
      <w:r w:rsidR="00B6577D">
        <w:rPr>
          <w:rFonts w:asciiTheme="minorHAnsi" w:hAnsiTheme="minorHAnsi" w:cstheme="minorHAnsi"/>
          <w:sz w:val="22"/>
          <w:szCs w:val="22"/>
        </w:rPr>
        <w:t xml:space="preserve"> </w:t>
      </w:r>
      <w:r w:rsidR="00B64AC5">
        <w:rPr>
          <w:rFonts w:asciiTheme="minorHAnsi" w:hAnsiTheme="minorHAnsi" w:cstheme="minorHAnsi"/>
          <w:sz w:val="22"/>
          <w:szCs w:val="22"/>
        </w:rPr>
        <w:t xml:space="preserve">The </w:t>
      </w:r>
      <w:r w:rsidR="00E93B41">
        <w:rPr>
          <w:rFonts w:asciiTheme="minorHAnsi" w:hAnsiTheme="minorHAnsi" w:cstheme="minorHAnsi"/>
          <w:sz w:val="22"/>
          <w:szCs w:val="22"/>
        </w:rPr>
        <w:t>Q</w:t>
      </w:r>
      <w:r w:rsidR="00DF5081">
        <w:rPr>
          <w:rFonts w:asciiTheme="minorHAnsi" w:hAnsiTheme="minorHAnsi" w:cstheme="minorHAnsi"/>
          <w:sz w:val="22"/>
          <w:szCs w:val="22"/>
        </w:rPr>
        <w:t xml:space="preserve">uality </w:t>
      </w:r>
      <w:r w:rsidR="00E93B41">
        <w:rPr>
          <w:rFonts w:asciiTheme="minorHAnsi" w:hAnsiTheme="minorHAnsi" w:cstheme="minorHAnsi"/>
          <w:sz w:val="22"/>
          <w:szCs w:val="22"/>
        </w:rPr>
        <w:t>A</w:t>
      </w:r>
      <w:r w:rsidR="00DF5081">
        <w:rPr>
          <w:rFonts w:asciiTheme="minorHAnsi" w:hAnsiTheme="minorHAnsi" w:cstheme="minorHAnsi"/>
          <w:sz w:val="22"/>
          <w:szCs w:val="22"/>
        </w:rPr>
        <w:t xml:space="preserve">djusted </w:t>
      </w:r>
      <w:r w:rsidR="00E93B41">
        <w:rPr>
          <w:rFonts w:asciiTheme="minorHAnsi" w:hAnsiTheme="minorHAnsi" w:cstheme="minorHAnsi"/>
          <w:sz w:val="22"/>
          <w:szCs w:val="22"/>
        </w:rPr>
        <w:t>L</w:t>
      </w:r>
      <w:r w:rsidR="00DF5081">
        <w:rPr>
          <w:rFonts w:asciiTheme="minorHAnsi" w:hAnsiTheme="minorHAnsi" w:cstheme="minorHAnsi"/>
          <w:sz w:val="22"/>
          <w:szCs w:val="22"/>
        </w:rPr>
        <w:t xml:space="preserve">ife </w:t>
      </w:r>
      <w:r w:rsidR="00E93B41">
        <w:rPr>
          <w:rFonts w:asciiTheme="minorHAnsi" w:hAnsiTheme="minorHAnsi" w:cstheme="minorHAnsi"/>
          <w:sz w:val="22"/>
          <w:szCs w:val="22"/>
        </w:rPr>
        <w:t>Y</w:t>
      </w:r>
      <w:r w:rsidR="00DF5081">
        <w:rPr>
          <w:rFonts w:asciiTheme="minorHAnsi" w:hAnsiTheme="minorHAnsi" w:cstheme="minorHAnsi"/>
          <w:sz w:val="22"/>
          <w:szCs w:val="22"/>
        </w:rPr>
        <w:t xml:space="preserve">ears (QALY) </w:t>
      </w:r>
      <w:r w:rsidR="00B64AC5">
        <w:rPr>
          <w:rFonts w:asciiTheme="minorHAnsi" w:hAnsiTheme="minorHAnsi" w:cstheme="minorHAnsi"/>
          <w:sz w:val="22"/>
          <w:szCs w:val="22"/>
        </w:rPr>
        <w:t xml:space="preserve">methodology values </w:t>
      </w:r>
      <w:r w:rsidR="00B53A39">
        <w:rPr>
          <w:rFonts w:asciiTheme="minorHAnsi" w:hAnsiTheme="minorHAnsi" w:cstheme="minorHAnsi"/>
          <w:sz w:val="22"/>
          <w:szCs w:val="22"/>
        </w:rPr>
        <w:t xml:space="preserve">the lives of </w:t>
      </w:r>
      <w:r w:rsidR="00B53A39" w:rsidRPr="0075614D">
        <w:rPr>
          <w:rFonts w:asciiTheme="minorHAnsi" w:hAnsiTheme="minorHAnsi" w:cstheme="minorHAnsi"/>
          <w:sz w:val="22"/>
          <w:szCs w:val="22"/>
        </w:rPr>
        <w:t xml:space="preserve">young people in good health </w:t>
      </w:r>
      <w:r w:rsidR="002C70A4">
        <w:rPr>
          <w:rFonts w:asciiTheme="minorHAnsi" w:hAnsiTheme="minorHAnsi" w:cstheme="minorHAnsi"/>
          <w:sz w:val="22"/>
          <w:szCs w:val="22"/>
        </w:rPr>
        <w:t xml:space="preserve">more </w:t>
      </w:r>
      <w:r w:rsidR="00B53A39" w:rsidRPr="0075614D">
        <w:rPr>
          <w:rFonts w:asciiTheme="minorHAnsi" w:hAnsiTheme="minorHAnsi" w:cstheme="minorHAnsi"/>
          <w:sz w:val="22"/>
          <w:szCs w:val="22"/>
        </w:rPr>
        <w:t>than older adults</w:t>
      </w:r>
      <w:r w:rsidR="00B53A39">
        <w:rPr>
          <w:rFonts w:asciiTheme="minorHAnsi" w:hAnsiTheme="minorHAnsi" w:cstheme="minorHAnsi"/>
          <w:sz w:val="22"/>
          <w:szCs w:val="22"/>
        </w:rPr>
        <w:t xml:space="preserve"> or people with disabilities</w:t>
      </w:r>
      <w:r w:rsidR="009F30A7">
        <w:rPr>
          <w:rFonts w:asciiTheme="minorHAnsi" w:hAnsiTheme="minorHAnsi" w:cstheme="minorHAnsi"/>
          <w:sz w:val="22"/>
          <w:szCs w:val="22"/>
        </w:rPr>
        <w:t>. ICER, a third-party research group, wants lawmakers</w:t>
      </w:r>
      <w:r w:rsidR="00DF5081">
        <w:rPr>
          <w:rFonts w:asciiTheme="minorHAnsi" w:hAnsiTheme="minorHAnsi" w:cstheme="minorHAnsi"/>
          <w:sz w:val="22"/>
          <w:szCs w:val="22"/>
        </w:rPr>
        <w:t xml:space="preserve"> </w:t>
      </w:r>
      <w:r w:rsidR="009F30A7">
        <w:rPr>
          <w:rFonts w:asciiTheme="minorHAnsi" w:hAnsiTheme="minorHAnsi" w:cstheme="minorHAnsi"/>
          <w:sz w:val="22"/>
          <w:szCs w:val="22"/>
        </w:rPr>
        <w:t xml:space="preserve">to determine </w:t>
      </w:r>
      <w:r w:rsidR="00B64AC5">
        <w:rPr>
          <w:rFonts w:asciiTheme="minorHAnsi" w:hAnsiTheme="minorHAnsi" w:cstheme="minorHAnsi"/>
          <w:sz w:val="22"/>
          <w:szCs w:val="22"/>
        </w:rPr>
        <w:t>treatment value using</w:t>
      </w:r>
      <w:r w:rsidR="00DF5081">
        <w:rPr>
          <w:rFonts w:asciiTheme="minorHAnsi" w:hAnsiTheme="minorHAnsi" w:cstheme="minorHAnsi"/>
          <w:sz w:val="22"/>
          <w:szCs w:val="22"/>
        </w:rPr>
        <w:t xml:space="preserve"> </w:t>
      </w:r>
      <w:r w:rsidR="00B64AC5">
        <w:rPr>
          <w:rFonts w:asciiTheme="minorHAnsi" w:hAnsiTheme="minorHAnsi" w:cstheme="minorHAnsi"/>
          <w:sz w:val="22"/>
          <w:szCs w:val="22"/>
        </w:rPr>
        <w:t>the QALY</w:t>
      </w:r>
      <w:r w:rsidR="009F30A7">
        <w:rPr>
          <w:rFonts w:asciiTheme="minorHAnsi" w:hAnsiTheme="minorHAnsi" w:cstheme="minorHAnsi"/>
          <w:sz w:val="22"/>
          <w:szCs w:val="22"/>
        </w:rPr>
        <w:t xml:space="preserve">: </w:t>
      </w:r>
      <w:hyperlink r:id="rId32" w:history="1">
        <w:r w:rsidR="009F30A7" w:rsidRPr="00125768">
          <w:rPr>
            <w:rStyle w:val="Hyperlink"/>
            <w:rFonts w:asciiTheme="minorHAnsi" w:hAnsiTheme="minorHAnsi" w:cstheme="minorHAnsi"/>
            <w:sz w:val="22"/>
            <w:szCs w:val="22"/>
          </w:rPr>
          <w:t>https://bit.ly/ICERblog</w:t>
        </w:r>
      </w:hyperlink>
    </w:p>
    <w:p w14:paraId="72813567" w14:textId="77777777" w:rsidR="00CB5E0E" w:rsidRPr="00CB5E0E" w:rsidRDefault="00CB5E0E" w:rsidP="001775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93B924" w14:textId="144581D3" w:rsidR="00AD6FA8" w:rsidRPr="003C3B0F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hyperlink r:id="rId33" w:history="1">
        <w:r w:rsidR="00016C01" w:rsidRPr="00633BF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D8528D" w:rsidRPr="00D8528D">
        <w:rPr>
          <w:rFonts w:asciiTheme="minorHAnsi" w:hAnsiTheme="minorHAnsi" w:cstheme="minorHAnsi"/>
          <w:sz w:val="22"/>
          <w:szCs w:val="22"/>
        </w:rPr>
        <w:t>:</w:t>
      </w:r>
      <w:r w:rsidR="00D8528D">
        <w:rPr>
          <w:rFonts w:asciiTheme="minorHAnsi" w:hAnsiTheme="minorHAnsi" w:cstheme="minorHAnsi"/>
          <w:sz w:val="22"/>
          <w:szCs w:val="22"/>
        </w:rPr>
        <w:t xml:space="preserve"> If </w:t>
      </w:r>
      <w:r w:rsidR="00BA288F">
        <w:rPr>
          <w:rFonts w:asciiTheme="minorHAnsi" w:hAnsiTheme="minorHAnsi" w:cstheme="minorHAnsi"/>
          <w:sz w:val="22"/>
          <w:szCs w:val="22"/>
        </w:rPr>
        <w:t xml:space="preserve">policymakers </w:t>
      </w:r>
      <w:r w:rsidR="00874E56">
        <w:rPr>
          <w:rFonts w:asciiTheme="minorHAnsi" w:hAnsiTheme="minorHAnsi" w:cstheme="minorHAnsi"/>
          <w:sz w:val="22"/>
          <w:szCs w:val="22"/>
        </w:rPr>
        <w:t>rely on discriminatory value assessments</w:t>
      </w:r>
      <w:r w:rsidR="00BA288F">
        <w:rPr>
          <w:rFonts w:asciiTheme="minorHAnsi" w:hAnsiTheme="minorHAnsi" w:cstheme="minorHAnsi"/>
          <w:sz w:val="22"/>
          <w:szCs w:val="22"/>
        </w:rPr>
        <w:t xml:space="preserve"> like the QALY </w:t>
      </w:r>
      <w:r w:rsidR="002C70A4">
        <w:rPr>
          <w:rFonts w:asciiTheme="minorHAnsi" w:hAnsiTheme="minorHAnsi" w:cstheme="minorHAnsi"/>
          <w:sz w:val="22"/>
          <w:szCs w:val="22"/>
        </w:rPr>
        <w:t>–</w:t>
      </w:r>
      <w:r w:rsidR="00BA288F">
        <w:rPr>
          <w:rFonts w:asciiTheme="minorHAnsi" w:hAnsiTheme="minorHAnsi" w:cstheme="minorHAnsi"/>
          <w:sz w:val="22"/>
          <w:szCs w:val="22"/>
        </w:rPr>
        <w:t xml:space="preserve"> </w:t>
      </w:r>
      <w:r w:rsidR="00BA288F" w:rsidRPr="00BA288F">
        <w:rPr>
          <w:rFonts w:asciiTheme="minorHAnsi" w:hAnsiTheme="minorHAnsi" w:cstheme="minorHAnsi"/>
          <w:sz w:val="22"/>
          <w:szCs w:val="22"/>
        </w:rPr>
        <w:t>an arbitrary</w:t>
      </w:r>
      <w:r w:rsidR="00874E56">
        <w:rPr>
          <w:rFonts w:asciiTheme="minorHAnsi" w:hAnsiTheme="minorHAnsi" w:cstheme="minorHAnsi"/>
          <w:sz w:val="22"/>
          <w:szCs w:val="22"/>
        </w:rPr>
        <w:t xml:space="preserve"> </w:t>
      </w:r>
      <w:r w:rsidR="00BA288F" w:rsidRPr="003C3B0F">
        <w:rPr>
          <w:rFonts w:asciiTheme="minorHAnsi" w:hAnsiTheme="minorHAnsi" w:cstheme="minorHAnsi"/>
          <w:sz w:val="22"/>
          <w:szCs w:val="22"/>
        </w:rPr>
        <w:t xml:space="preserve">evaluation of one year of </w:t>
      </w:r>
      <w:r w:rsidR="000D6A52" w:rsidRPr="003C3B0F">
        <w:rPr>
          <w:rFonts w:asciiTheme="minorHAnsi" w:hAnsiTheme="minorHAnsi" w:cstheme="minorHAnsi"/>
          <w:sz w:val="22"/>
          <w:szCs w:val="22"/>
        </w:rPr>
        <w:t>“</w:t>
      </w:r>
      <w:r w:rsidR="00BA288F" w:rsidRPr="003C3B0F">
        <w:rPr>
          <w:rFonts w:asciiTheme="minorHAnsi" w:hAnsiTheme="minorHAnsi" w:cstheme="minorHAnsi"/>
          <w:sz w:val="22"/>
          <w:szCs w:val="22"/>
        </w:rPr>
        <w:t>perfect</w:t>
      </w:r>
      <w:r w:rsidR="000D6A52" w:rsidRPr="003C3B0F">
        <w:rPr>
          <w:rFonts w:asciiTheme="minorHAnsi" w:hAnsiTheme="minorHAnsi" w:cstheme="minorHAnsi"/>
          <w:sz w:val="22"/>
          <w:szCs w:val="22"/>
        </w:rPr>
        <w:t>”</w:t>
      </w:r>
      <w:r w:rsidR="00BA288F" w:rsidRPr="003C3B0F">
        <w:rPr>
          <w:rFonts w:asciiTheme="minorHAnsi" w:hAnsiTheme="minorHAnsi" w:cstheme="minorHAnsi"/>
          <w:sz w:val="22"/>
          <w:szCs w:val="22"/>
        </w:rPr>
        <w:t xml:space="preserve"> health </w:t>
      </w:r>
      <w:r w:rsidR="004A0166">
        <w:rPr>
          <w:rFonts w:asciiTheme="minorHAnsi" w:hAnsiTheme="minorHAnsi" w:cstheme="minorHAnsi"/>
          <w:sz w:val="22"/>
          <w:szCs w:val="22"/>
        </w:rPr>
        <w:t xml:space="preserve">– </w:t>
      </w:r>
      <w:r w:rsidR="00BA288F" w:rsidRPr="003C3B0F">
        <w:rPr>
          <w:rFonts w:asciiTheme="minorHAnsi" w:hAnsiTheme="minorHAnsi" w:cstheme="minorHAnsi"/>
          <w:sz w:val="22"/>
          <w:szCs w:val="22"/>
        </w:rPr>
        <w:t xml:space="preserve">to determine </w:t>
      </w:r>
      <w:r w:rsidR="00874E56">
        <w:rPr>
          <w:rFonts w:asciiTheme="minorHAnsi" w:hAnsiTheme="minorHAnsi" w:cstheme="minorHAnsi"/>
          <w:sz w:val="22"/>
          <w:szCs w:val="22"/>
        </w:rPr>
        <w:t xml:space="preserve">treatment </w:t>
      </w:r>
      <w:r w:rsidR="00BA288F" w:rsidRPr="003C3B0F">
        <w:rPr>
          <w:rFonts w:asciiTheme="minorHAnsi" w:hAnsiTheme="minorHAnsi" w:cstheme="minorHAnsi"/>
          <w:sz w:val="22"/>
          <w:szCs w:val="22"/>
        </w:rPr>
        <w:t>value</w:t>
      </w:r>
      <w:r w:rsidR="00A72EDF" w:rsidRPr="003C3B0F">
        <w:rPr>
          <w:rFonts w:asciiTheme="minorHAnsi" w:hAnsiTheme="minorHAnsi" w:cstheme="minorHAnsi"/>
          <w:sz w:val="22"/>
          <w:szCs w:val="22"/>
        </w:rPr>
        <w:t xml:space="preserve">, </w:t>
      </w:r>
      <w:r w:rsidR="00EB0462">
        <w:rPr>
          <w:rFonts w:asciiTheme="minorHAnsi" w:hAnsiTheme="minorHAnsi" w:cstheme="minorHAnsi"/>
          <w:sz w:val="22"/>
          <w:szCs w:val="22"/>
        </w:rPr>
        <w:t>vulnerable Patient populations will be at risk of losing access to</w:t>
      </w:r>
      <w:r w:rsidR="00B64AC5" w:rsidRPr="00B64AC5">
        <w:rPr>
          <w:rFonts w:asciiTheme="minorHAnsi" w:hAnsiTheme="minorHAnsi" w:cstheme="minorHAnsi"/>
          <w:sz w:val="22"/>
          <w:szCs w:val="22"/>
        </w:rPr>
        <w:t xml:space="preserve"> </w:t>
      </w:r>
      <w:r w:rsidR="00B64AC5">
        <w:rPr>
          <w:rFonts w:asciiTheme="minorHAnsi" w:hAnsiTheme="minorHAnsi" w:cstheme="minorHAnsi"/>
          <w:sz w:val="22"/>
          <w:szCs w:val="22"/>
        </w:rPr>
        <w:t>critical</w:t>
      </w:r>
      <w:r w:rsidR="00EB0462">
        <w:rPr>
          <w:rFonts w:asciiTheme="minorHAnsi" w:hAnsiTheme="minorHAnsi" w:cstheme="minorHAnsi"/>
          <w:sz w:val="22"/>
          <w:szCs w:val="22"/>
        </w:rPr>
        <w:t xml:space="preserve"> care: </w:t>
      </w:r>
      <w:hyperlink r:id="rId34" w:history="1">
        <w:r w:rsidR="00033E2E" w:rsidRPr="00874E56">
          <w:rPr>
            <w:rStyle w:val="Hyperlink"/>
            <w:rFonts w:asciiTheme="minorHAnsi" w:hAnsiTheme="minorHAnsi" w:cstheme="minorHAnsi"/>
            <w:sz w:val="22"/>
            <w:szCs w:val="22"/>
          </w:rPr>
          <w:t>https://bit.ly/ICER-infographic</w:t>
        </w:r>
      </w:hyperlink>
    </w:p>
    <w:p w14:paraId="4B0A7A3F" w14:textId="77777777" w:rsidR="00AD6FA8" w:rsidRDefault="00AD6FA8" w:rsidP="001775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CC4D72" w14:textId="3D676606" w:rsidR="00ED1A4D" w:rsidRPr="00AD6FA8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hyperlink r:id="rId35" w:history="1">
        <w:r w:rsidR="00AD6FA8" w:rsidRPr="00633BF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AD6FA8" w:rsidRPr="00D8528D">
        <w:rPr>
          <w:rFonts w:asciiTheme="minorHAnsi" w:hAnsiTheme="minorHAnsi" w:cstheme="minorHAnsi"/>
          <w:sz w:val="22"/>
          <w:szCs w:val="22"/>
        </w:rPr>
        <w:t>:</w:t>
      </w:r>
      <w:r w:rsidR="00AD6FA8">
        <w:rPr>
          <w:rFonts w:asciiTheme="minorHAnsi" w:hAnsiTheme="minorHAnsi" w:cstheme="minorHAnsi"/>
          <w:sz w:val="22"/>
          <w:szCs w:val="22"/>
        </w:rPr>
        <w:t xml:space="preserve"> </w:t>
      </w:r>
      <w:r w:rsidR="002E6894">
        <w:rPr>
          <w:rFonts w:asciiTheme="minorHAnsi" w:hAnsiTheme="minorHAnsi" w:cstheme="minorHAnsi"/>
          <w:sz w:val="22"/>
          <w:szCs w:val="22"/>
        </w:rPr>
        <w:t xml:space="preserve">One-size-fits-all cost-effectiveness strategies employed by ICER </w:t>
      </w:r>
      <w:r w:rsidR="00874E56">
        <w:rPr>
          <w:rFonts w:asciiTheme="minorHAnsi" w:hAnsiTheme="minorHAnsi" w:cstheme="minorHAnsi"/>
          <w:sz w:val="22"/>
          <w:szCs w:val="22"/>
        </w:rPr>
        <w:t>undermine the</w:t>
      </w:r>
      <w:r w:rsidR="00AD6FA8" w:rsidRPr="00AD6FA8">
        <w:rPr>
          <w:rFonts w:asciiTheme="minorHAnsi" w:hAnsiTheme="minorHAnsi" w:cstheme="minorHAnsi"/>
          <w:sz w:val="22"/>
          <w:szCs w:val="22"/>
        </w:rPr>
        <w:t xml:space="preserve"> </w:t>
      </w:r>
      <w:r w:rsidR="00874E56">
        <w:rPr>
          <w:rFonts w:asciiTheme="minorHAnsi" w:hAnsiTheme="minorHAnsi" w:cstheme="minorHAnsi"/>
          <w:sz w:val="22"/>
          <w:szCs w:val="22"/>
        </w:rPr>
        <w:t>valuable P</w:t>
      </w:r>
      <w:r w:rsidR="00AD6FA8" w:rsidRPr="00AD6FA8">
        <w:rPr>
          <w:rFonts w:asciiTheme="minorHAnsi" w:hAnsiTheme="minorHAnsi" w:cstheme="minorHAnsi"/>
          <w:sz w:val="22"/>
          <w:szCs w:val="22"/>
        </w:rPr>
        <w:t>atient and physician relationship and shared decision-making</w:t>
      </w:r>
      <w:r w:rsidR="00874E56">
        <w:rPr>
          <w:rFonts w:asciiTheme="minorHAnsi" w:hAnsiTheme="minorHAnsi" w:cstheme="minorHAnsi"/>
          <w:sz w:val="22"/>
          <w:szCs w:val="22"/>
        </w:rPr>
        <w:t xml:space="preserve"> about the best course of treatment</w:t>
      </w:r>
      <w:r w:rsidR="00AD6FA8" w:rsidRPr="00AD6FA8">
        <w:rPr>
          <w:rFonts w:asciiTheme="minorHAnsi" w:hAnsiTheme="minorHAnsi" w:cstheme="minorHAnsi"/>
          <w:sz w:val="22"/>
          <w:szCs w:val="22"/>
        </w:rPr>
        <w:t>.</w:t>
      </w:r>
      <w:r w:rsidR="002E6894">
        <w:rPr>
          <w:rFonts w:asciiTheme="minorHAnsi" w:hAnsiTheme="minorHAnsi" w:cstheme="minorHAnsi"/>
          <w:sz w:val="22"/>
          <w:szCs w:val="22"/>
        </w:rPr>
        <w:t xml:space="preserve"> </w:t>
      </w:r>
      <w:r w:rsidR="009831C0" w:rsidRPr="00AD6FA8">
        <w:rPr>
          <w:rFonts w:asciiTheme="minorHAnsi" w:hAnsiTheme="minorHAnsi" w:cstheme="minorHAnsi"/>
          <w:sz w:val="22"/>
          <w:szCs w:val="22"/>
        </w:rPr>
        <w:t>More</w:t>
      </w:r>
      <w:r w:rsidR="002E6894">
        <w:rPr>
          <w:rFonts w:asciiTheme="minorHAnsi" w:hAnsiTheme="minorHAnsi" w:cstheme="minorHAnsi"/>
          <w:sz w:val="22"/>
          <w:szCs w:val="22"/>
        </w:rPr>
        <w:t xml:space="preserve"> </w:t>
      </w:r>
      <w:r w:rsidR="002C70A4">
        <w:rPr>
          <w:rFonts w:asciiTheme="minorHAnsi" w:hAnsiTheme="minorHAnsi" w:cstheme="minorHAnsi"/>
          <w:sz w:val="22"/>
          <w:szCs w:val="22"/>
        </w:rPr>
        <w:t>in</w:t>
      </w:r>
      <w:r w:rsidR="002E6894">
        <w:rPr>
          <w:rFonts w:asciiTheme="minorHAnsi" w:hAnsiTheme="minorHAnsi" w:cstheme="minorHAnsi"/>
          <w:sz w:val="22"/>
          <w:szCs w:val="22"/>
        </w:rPr>
        <w:t xml:space="preserve"> </w:t>
      </w:r>
      <w:r w:rsidR="00B64AC5">
        <w:rPr>
          <w:rFonts w:asciiTheme="minorHAnsi" w:hAnsiTheme="minorHAnsi" w:cstheme="minorHAnsi"/>
          <w:sz w:val="22"/>
          <w:szCs w:val="22"/>
        </w:rPr>
        <w:t xml:space="preserve">a @BioNJ_org </w:t>
      </w:r>
      <w:r w:rsidR="002E6894">
        <w:rPr>
          <w:rFonts w:asciiTheme="minorHAnsi" w:hAnsiTheme="minorHAnsi" w:cstheme="minorHAnsi"/>
          <w:sz w:val="22"/>
          <w:szCs w:val="22"/>
        </w:rPr>
        <w:t>guest blog</w:t>
      </w:r>
      <w:r w:rsidR="009831C0" w:rsidRPr="00AD6FA8">
        <w:rPr>
          <w:rFonts w:asciiTheme="minorHAnsi" w:hAnsiTheme="minorHAnsi" w:cstheme="minorHAnsi"/>
          <w:sz w:val="22"/>
          <w:szCs w:val="22"/>
        </w:rPr>
        <w:t xml:space="preserve"> from @patientaccess’ Josie Cooper: </w:t>
      </w:r>
      <w:hyperlink r:id="rId36" w:history="1">
        <w:r w:rsidR="009831C0" w:rsidRPr="00AD6FA8">
          <w:rPr>
            <w:rStyle w:val="Hyperlink"/>
            <w:rFonts w:asciiTheme="minorHAnsi" w:hAnsiTheme="minorHAnsi" w:cstheme="minorHAnsi"/>
            <w:sz w:val="22"/>
            <w:szCs w:val="22"/>
          </w:rPr>
          <w:t>https://bit.ly/ICERblog</w:t>
        </w:r>
      </w:hyperlink>
    </w:p>
    <w:p w14:paraId="4BE99565" w14:textId="77777777" w:rsidR="00A72EDF" w:rsidRPr="00BA288F" w:rsidRDefault="00A72EDF" w:rsidP="001775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7DFB59" w14:textId="3D567715" w:rsidR="00546825" w:rsidRDefault="00B64AC5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br w:type="page"/>
      </w:r>
      <w:r w:rsidR="00B650CE" w:rsidRPr="00A7351B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lastRenderedPageBreak/>
        <w:t xml:space="preserve">Shareable Graphic </w:t>
      </w:r>
    </w:p>
    <w:p w14:paraId="7F85B100" w14:textId="77777777" w:rsidR="006409DE" w:rsidRDefault="006409DE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E4579E" w14:textId="681581B0" w:rsidR="006409DE" w:rsidRPr="00390E1D" w:rsidRDefault="00E135F6" w:rsidP="001775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1C1D3400" wp14:editId="011DC30A">
            <wp:extent cx="4468109" cy="2513312"/>
            <wp:effectExtent l="19050" t="19050" r="8890" b="20955"/>
            <wp:docPr id="304437628" name="Picture 1" descr="A blu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37628" name="Picture 1" descr="A blue and white background with white text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675" cy="252881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3E30FB" w14:textId="77777777" w:rsidR="006409DE" w:rsidRDefault="006409DE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578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Right click and select “save as picture” to save locally to your computer.</w:t>
      </w:r>
    </w:p>
    <w:p w14:paraId="597416BE" w14:textId="77777777" w:rsidR="00B650CE" w:rsidRDefault="00B650CE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44DCC9D6" w14:textId="7002A6D3" w:rsidR="00ED1A4D" w:rsidRPr="00B76373" w:rsidRDefault="00ED1A4D" w:rsidP="001775CC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4" w:name="_BioNJ_Drug_Pricing"/>
      <w:bookmarkEnd w:id="4"/>
      <w:proofErr w:type="spellStart"/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>BioNJ</w:t>
      </w:r>
      <w:proofErr w:type="spellEnd"/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597055" w:rsidRPr="00B76373">
        <w:rPr>
          <w:rFonts w:asciiTheme="minorHAnsi" w:hAnsiTheme="minorHAnsi" w:cstheme="minorHAnsi"/>
          <w:b/>
          <w:bCs/>
          <w:i/>
          <w:iCs/>
          <w:u w:val="single"/>
        </w:rPr>
        <w:t xml:space="preserve">Drug </w:t>
      </w:r>
      <w:r w:rsidRPr="00B76373">
        <w:rPr>
          <w:rFonts w:asciiTheme="minorHAnsi" w:hAnsiTheme="minorHAnsi" w:cstheme="minorHAnsi"/>
          <w:b/>
          <w:bCs/>
          <w:i/>
          <w:iCs/>
          <w:u w:val="single"/>
        </w:rPr>
        <w:t xml:space="preserve">Pricing Dictionary </w:t>
      </w:r>
    </w:p>
    <w:p w14:paraId="4F472DF4" w14:textId="77777777" w:rsidR="00ED1A4D" w:rsidRDefault="00ED1A4D" w:rsidP="001775C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6329ADC" w14:textId="29B01D29" w:rsidR="001A1FED" w:rsidRPr="0013635B" w:rsidRDefault="004E2EEF" w:rsidP="001775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hyperlink r:id="rId38" w:history="1">
        <w:r w:rsidR="001A1FED" w:rsidRPr="00B96AE4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 w:rsidRPr="0013635B">
        <w:rPr>
          <w:rFonts w:asciiTheme="minorHAnsi" w:hAnsiTheme="minorHAnsi" w:cstheme="minorHAnsi"/>
          <w:sz w:val="22"/>
          <w:szCs w:val="22"/>
        </w:rPr>
        <w:t>:</w:t>
      </w:r>
      <w:r w:rsidR="00F3025E" w:rsidRPr="0013635B">
        <w:rPr>
          <w:rFonts w:asciiTheme="minorHAnsi" w:hAnsiTheme="minorHAnsi" w:cstheme="minorHAnsi"/>
          <w:sz w:val="22"/>
          <w:szCs w:val="22"/>
        </w:rPr>
        <w:t xml:space="preserve"> </w:t>
      </w:r>
      <w:r w:rsidR="00874E56" w:rsidRPr="0013635B">
        <w:rPr>
          <w:rFonts w:asciiTheme="minorHAnsi" w:hAnsiTheme="minorHAnsi" w:cstheme="minorHAnsi"/>
          <w:sz w:val="22"/>
          <w:szCs w:val="22"/>
        </w:rPr>
        <w:t>Feeling lost in discussions about</w:t>
      </w:r>
      <w:r w:rsidR="002F7F66" w:rsidRPr="0013635B">
        <w:rPr>
          <w:rFonts w:asciiTheme="minorHAnsi" w:hAnsiTheme="minorHAnsi" w:cstheme="minorHAnsi"/>
          <w:sz w:val="22"/>
          <w:szCs w:val="22"/>
        </w:rPr>
        <w:t xml:space="preserve"> </w:t>
      </w:r>
      <w:r w:rsidR="0066337A" w:rsidRPr="0013635B">
        <w:rPr>
          <w:rFonts w:asciiTheme="minorHAnsi" w:hAnsiTheme="minorHAnsi" w:cstheme="minorHAnsi"/>
          <w:sz w:val="22"/>
          <w:szCs w:val="22"/>
        </w:rPr>
        <w:t xml:space="preserve">drug pricing </w:t>
      </w:r>
      <w:r w:rsidR="00874E56" w:rsidRPr="0013635B">
        <w:rPr>
          <w:rFonts w:asciiTheme="minorHAnsi" w:hAnsiTheme="minorHAnsi" w:cstheme="minorHAnsi"/>
          <w:sz w:val="22"/>
          <w:szCs w:val="22"/>
        </w:rPr>
        <w:t>and treatment access</w:t>
      </w:r>
      <w:r w:rsidR="00934FF1" w:rsidRPr="0013635B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1A0813" w:rsidRPr="0013635B">
        <w:rPr>
          <w:rFonts w:asciiTheme="minorHAnsi" w:hAnsiTheme="minorHAnsi" w:cstheme="minorHAnsi"/>
          <w:sz w:val="22"/>
          <w:szCs w:val="22"/>
        </w:rPr>
        <w:t>BioNJ</w:t>
      </w:r>
      <w:proofErr w:type="spellEnd"/>
      <w:r w:rsidR="001A0813" w:rsidRPr="0013635B">
        <w:rPr>
          <w:rFonts w:asciiTheme="minorHAnsi" w:hAnsiTheme="minorHAnsi" w:cstheme="minorHAnsi"/>
          <w:sz w:val="22"/>
          <w:szCs w:val="22"/>
        </w:rPr>
        <w:t xml:space="preserve"> is here to help</w:t>
      </w:r>
      <w:r w:rsidR="00874E56" w:rsidRPr="0013635B">
        <w:rPr>
          <w:rFonts w:asciiTheme="minorHAnsi" w:hAnsiTheme="minorHAnsi" w:cstheme="minorHAnsi"/>
          <w:sz w:val="22"/>
          <w:szCs w:val="22"/>
        </w:rPr>
        <w:t xml:space="preserve">! </w:t>
      </w:r>
      <w:r w:rsidR="001A0813" w:rsidRPr="0013635B">
        <w:rPr>
          <w:rFonts w:asciiTheme="minorHAnsi" w:hAnsiTheme="minorHAnsi" w:cstheme="minorHAnsi"/>
          <w:sz w:val="22"/>
          <w:szCs w:val="22"/>
        </w:rPr>
        <w:t xml:space="preserve">Check out our </w:t>
      </w:r>
      <w:r w:rsidR="003920B1">
        <w:rPr>
          <w:rFonts w:asciiTheme="minorHAnsi" w:hAnsiTheme="minorHAnsi" w:cstheme="minorHAnsi"/>
          <w:sz w:val="22"/>
          <w:szCs w:val="22"/>
        </w:rPr>
        <w:t>D</w:t>
      </w:r>
      <w:r w:rsidR="00B93D3C" w:rsidRPr="0013635B">
        <w:rPr>
          <w:rFonts w:asciiTheme="minorHAnsi" w:hAnsiTheme="minorHAnsi" w:cstheme="minorHAnsi"/>
          <w:sz w:val="22"/>
          <w:szCs w:val="22"/>
        </w:rPr>
        <w:t xml:space="preserve">rug </w:t>
      </w:r>
      <w:r w:rsidR="003920B1">
        <w:rPr>
          <w:rFonts w:asciiTheme="minorHAnsi" w:hAnsiTheme="minorHAnsi" w:cstheme="minorHAnsi"/>
          <w:sz w:val="22"/>
          <w:szCs w:val="22"/>
        </w:rPr>
        <w:t>P</w:t>
      </w:r>
      <w:r w:rsidR="001A0813" w:rsidRPr="0013635B">
        <w:rPr>
          <w:rFonts w:asciiTheme="minorHAnsi" w:hAnsiTheme="minorHAnsi" w:cstheme="minorHAnsi"/>
          <w:sz w:val="22"/>
          <w:szCs w:val="22"/>
        </w:rPr>
        <w:t xml:space="preserve">ricing </w:t>
      </w:r>
      <w:r w:rsidR="003920B1">
        <w:rPr>
          <w:rFonts w:asciiTheme="minorHAnsi" w:hAnsiTheme="minorHAnsi" w:cstheme="minorHAnsi"/>
          <w:sz w:val="22"/>
          <w:szCs w:val="22"/>
        </w:rPr>
        <w:t>D</w:t>
      </w:r>
      <w:r w:rsidR="001A0813" w:rsidRPr="0013635B">
        <w:rPr>
          <w:rFonts w:asciiTheme="minorHAnsi" w:hAnsiTheme="minorHAnsi" w:cstheme="minorHAnsi"/>
          <w:sz w:val="22"/>
          <w:szCs w:val="22"/>
        </w:rPr>
        <w:t xml:space="preserve">ictionary </w:t>
      </w:r>
      <w:r w:rsidR="0066337A" w:rsidRPr="0013635B">
        <w:rPr>
          <w:rFonts w:asciiTheme="minorHAnsi" w:hAnsiTheme="minorHAnsi" w:cstheme="minorHAnsi"/>
          <w:sz w:val="22"/>
          <w:szCs w:val="22"/>
        </w:rPr>
        <w:t xml:space="preserve">to help you navigate those complex conversations: </w:t>
      </w:r>
      <w:hyperlink r:id="rId39" w:history="1">
        <w:r w:rsidR="0013635B" w:rsidRPr="0013635B">
          <w:rPr>
            <w:rStyle w:val="Hyperlink"/>
            <w:rFonts w:asciiTheme="minorHAnsi" w:hAnsiTheme="minorHAnsi" w:cstheme="minorHAnsi"/>
            <w:sz w:val="22"/>
            <w:szCs w:val="22"/>
          </w:rPr>
          <w:t>https://bit.ly/BioNJ_Dictionary</w:t>
        </w:r>
      </w:hyperlink>
    </w:p>
    <w:p w14:paraId="57570C7F" w14:textId="77777777" w:rsidR="00AB6720" w:rsidRPr="001A1FED" w:rsidRDefault="00AB6720" w:rsidP="001775CC">
      <w:pPr>
        <w:pStyle w:val="ListParagraph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38A59A62" w14:textId="3410C808" w:rsidR="00C62AAF" w:rsidRPr="0013635B" w:rsidRDefault="004E2EEF" w:rsidP="001775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hyperlink r:id="rId40" w:history="1">
        <w:r w:rsidR="001A1FED" w:rsidRPr="00B96AE4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 w:rsidRPr="0013635B">
        <w:rPr>
          <w:rFonts w:asciiTheme="minorHAnsi" w:hAnsiTheme="minorHAnsi" w:cstheme="minorHAnsi"/>
          <w:sz w:val="22"/>
          <w:szCs w:val="22"/>
        </w:rPr>
        <w:t>:</w:t>
      </w:r>
      <w:r w:rsidR="00A46317" w:rsidRPr="0013635B">
        <w:rPr>
          <w:rFonts w:asciiTheme="minorHAnsi" w:hAnsiTheme="minorHAnsi" w:cstheme="minorHAnsi"/>
          <w:sz w:val="22"/>
          <w:szCs w:val="22"/>
        </w:rPr>
        <w:t xml:space="preserve"> To help </w:t>
      </w:r>
      <w:r w:rsidR="00C00793" w:rsidRPr="0013635B">
        <w:rPr>
          <w:rFonts w:asciiTheme="minorHAnsi" w:hAnsiTheme="minorHAnsi" w:cstheme="minorHAnsi"/>
          <w:sz w:val="22"/>
          <w:szCs w:val="22"/>
        </w:rPr>
        <w:t xml:space="preserve">stakeholders </w:t>
      </w:r>
      <w:r w:rsidR="00A46317" w:rsidRPr="0013635B">
        <w:rPr>
          <w:rFonts w:asciiTheme="minorHAnsi" w:hAnsiTheme="minorHAnsi" w:cstheme="minorHAnsi"/>
          <w:sz w:val="22"/>
          <w:szCs w:val="22"/>
        </w:rPr>
        <w:t xml:space="preserve">across the healthcare spectrum better navigate the drug development and drug pricing environment, </w:t>
      </w:r>
      <w:proofErr w:type="spellStart"/>
      <w:r w:rsidR="00A46317" w:rsidRPr="0013635B">
        <w:rPr>
          <w:rFonts w:asciiTheme="minorHAnsi" w:hAnsiTheme="minorHAnsi" w:cstheme="minorHAnsi"/>
          <w:sz w:val="22"/>
          <w:szCs w:val="22"/>
        </w:rPr>
        <w:t>BioNJ</w:t>
      </w:r>
      <w:proofErr w:type="spellEnd"/>
      <w:r w:rsidR="00A46317" w:rsidRPr="0013635B">
        <w:rPr>
          <w:rFonts w:asciiTheme="minorHAnsi" w:hAnsiTheme="minorHAnsi" w:cstheme="minorHAnsi"/>
          <w:sz w:val="22"/>
          <w:szCs w:val="22"/>
        </w:rPr>
        <w:t xml:space="preserve"> ha</w:t>
      </w:r>
      <w:r w:rsidR="00C00793" w:rsidRPr="0013635B">
        <w:rPr>
          <w:rFonts w:asciiTheme="minorHAnsi" w:hAnsiTheme="minorHAnsi" w:cstheme="minorHAnsi"/>
          <w:sz w:val="22"/>
          <w:szCs w:val="22"/>
        </w:rPr>
        <w:t>s</w:t>
      </w:r>
      <w:r w:rsidR="00A46317" w:rsidRPr="0013635B">
        <w:rPr>
          <w:rFonts w:asciiTheme="minorHAnsi" w:hAnsiTheme="minorHAnsi" w:cstheme="minorHAnsi"/>
          <w:sz w:val="22"/>
          <w:szCs w:val="22"/>
        </w:rPr>
        <w:t xml:space="preserve"> developed </w:t>
      </w:r>
      <w:r w:rsidR="00874E56" w:rsidRPr="0013635B">
        <w:rPr>
          <w:rFonts w:asciiTheme="minorHAnsi" w:hAnsiTheme="minorHAnsi" w:cstheme="minorHAnsi"/>
          <w:sz w:val="22"/>
          <w:szCs w:val="22"/>
        </w:rPr>
        <w:t>a</w:t>
      </w:r>
      <w:r w:rsidR="00A46317" w:rsidRPr="0013635B">
        <w:rPr>
          <w:rFonts w:asciiTheme="minorHAnsi" w:hAnsiTheme="minorHAnsi" w:cstheme="minorHAnsi"/>
          <w:sz w:val="22"/>
          <w:szCs w:val="22"/>
        </w:rPr>
        <w:t xml:space="preserve"> Drug Pricing Dictionary</w:t>
      </w:r>
      <w:r w:rsidR="00874E56" w:rsidRPr="0013635B">
        <w:rPr>
          <w:rFonts w:asciiTheme="minorHAnsi" w:hAnsiTheme="minorHAnsi" w:cstheme="minorHAnsi"/>
          <w:sz w:val="22"/>
          <w:szCs w:val="22"/>
        </w:rPr>
        <w:t xml:space="preserve"> featuring commonly used terms and phrases</w:t>
      </w:r>
      <w:r w:rsidR="00C00793" w:rsidRPr="0013635B">
        <w:rPr>
          <w:rFonts w:asciiTheme="minorHAnsi" w:hAnsiTheme="minorHAnsi" w:cstheme="minorHAnsi"/>
          <w:sz w:val="22"/>
          <w:szCs w:val="22"/>
        </w:rPr>
        <w:t xml:space="preserve">. Get started here: </w:t>
      </w:r>
      <w:hyperlink r:id="rId41" w:history="1">
        <w:r w:rsidR="0013635B" w:rsidRPr="0013635B">
          <w:rPr>
            <w:rStyle w:val="Hyperlink"/>
            <w:rFonts w:asciiTheme="minorHAnsi" w:hAnsiTheme="minorHAnsi" w:cstheme="minorHAnsi"/>
            <w:sz w:val="22"/>
            <w:szCs w:val="22"/>
          </w:rPr>
          <w:t>https://bit.ly/BioNJ_Dictionary</w:t>
        </w:r>
      </w:hyperlink>
    </w:p>
    <w:p w14:paraId="21C10110" w14:textId="77777777" w:rsidR="0013635B" w:rsidRPr="0013635B" w:rsidRDefault="0013635B" w:rsidP="001775CC">
      <w:pPr>
        <w:pStyle w:val="ListParagraph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4B6DA817" w14:textId="747CEA34" w:rsidR="004E2EEF" w:rsidRPr="004E2EEF" w:rsidRDefault="004E2EEF" w:rsidP="001775CC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</w:pPr>
      <w:hyperlink r:id="rId42" w:history="1">
        <w:r w:rsidR="001A1FED" w:rsidRPr="00615F8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</w:rPr>
          <w:t>CLICK TO POST</w:t>
        </w:r>
      </w:hyperlink>
      <w:r w:rsidR="001A1FED" w:rsidRPr="0013635B">
        <w:rPr>
          <w:rFonts w:asciiTheme="minorHAnsi" w:hAnsiTheme="minorHAnsi" w:cstheme="minorHAnsi"/>
          <w:sz w:val="22"/>
          <w:szCs w:val="22"/>
        </w:rPr>
        <w:t>:</w:t>
      </w:r>
      <w:r w:rsidR="00704FF4" w:rsidRPr="0013635B">
        <w:rPr>
          <w:rFonts w:asciiTheme="minorHAnsi" w:hAnsiTheme="minorHAnsi" w:cstheme="minorHAnsi"/>
          <w:sz w:val="22"/>
          <w:szCs w:val="22"/>
        </w:rPr>
        <w:t xml:space="preserve"> Getting medica</w:t>
      </w:r>
      <w:r w:rsidR="00A81183" w:rsidRPr="0013635B">
        <w:rPr>
          <w:rFonts w:asciiTheme="minorHAnsi" w:hAnsiTheme="minorHAnsi" w:cstheme="minorHAnsi"/>
          <w:sz w:val="22"/>
          <w:szCs w:val="22"/>
        </w:rPr>
        <w:t xml:space="preserve">tion </w:t>
      </w:r>
      <w:r w:rsidR="001A0DA6" w:rsidRPr="0013635B">
        <w:rPr>
          <w:rFonts w:asciiTheme="minorHAnsi" w:hAnsiTheme="minorHAnsi" w:cstheme="minorHAnsi"/>
          <w:sz w:val="22"/>
          <w:szCs w:val="22"/>
        </w:rPr>
        <w:t xml:space="preserve">into the hands of Patients is a complex process. </w:t>
      </w:r>
      <w:r w:rsidR="00E563A6" w:rsidRPr="0013635B">
        <w:rPr>
          <w:rFonts w:asciiTheme="minorHAnsi" w:hAnsiTheme="minorHAnsi" w:cstheme="minorHAnsi"/>
          <w:sz w:val="22"/>
          <w:szCs w:val="22"/>
        </w:rPr>
        <w:t>No matter if you’re a Patient, advocate, or other stakeholder, you deserve a place in conversation</w:t>
      </w:r>
      <w:r w:rsidR="00205C75" w:rsidRPr="0013635B">
        <w:rPr>
          <w:rFonts w:asciiTheme="minorHAnsi" w:hAnsiTheme="minorHAnsi" w:cstheme="minorHAnsi"/>
          <w:sz w:val="22"/>
          <w:szCs w:val="22"/>
        </w:rPr>
        <w:t>s about access</w:t>
      </w:r>
      <w:r w:rsidR="00804DCE" w:rsidRPr="0013635B">
        <w:rPr>
          <w:rFonts w:asciiTheme="minorHAnsi" w:hAnsiTheme="minorHAnsi" w:cstheme="minorHAnsi"/>
          <w:sz w:val="22"/>
          <w:szCs w:val="22"/>
        </w:rPr>
        <w:t xml:space="preserve">. Check out our </w:t>
      </w:r>
      <w:r w:rsidR="003920B1">
        <w:rPr>
          <w:rFonts w:asciiTheme="minorHAnsi" w:hAnsiTheme="minorHAnsi" w:cstheme="minorHAnsi"/>
          <w:sz w:val="22"/>
          <w:szCs w:val="22"/>
        </w:rPr>
        <w:t>D</w:t>
      </w:r>
      <w:r w:rsidR="00804DCE" w:rsidRPr="0013635B">
        <w:rPr>
          <w:rFonts w:asciiTheme="minorHAnsi" w:hAnsiTheme="minorHAnsi" w:cstheme="minorHAnsi"/>
          <w:sz w:val="22"/>
          <w:szCs w:val="22"/>
        </w:rPr>
        <w:t xml:space="preserve">rug </w:t>
      </w:r>
      <w:r w:rsidR="003920B1">
        <w:rPr>
          <w:rFonts w:asciiTheme="minorHAnsi" w:hAnsiTheme="minorHAnsi" w:cstheme="minorHAnsi"/>
          <w:sz w:val="22"/>
          <w:szCs w:val="22"/>
        </w:rPr>
        <w:t>P</w:t>
      </w:r>
      <w:r w:rsidR="00804DCE" w:rsidRPr="0013635B">
        <w:rPr>
          <w:rFonts w:asciiTheme="minorHAnsi" w:hAnsiTheme="minorHAnsi" w:cstheme="minorHAnsi"/>
          <w:sz w:val="22"/>
          <w:szCs w:val="22"/>
        </w:rPr>
        <w:t xml:space="preserve">ricing </w:t>
      </w:r>
      <w:r w:rsidR="003920B1">
        <w:rPr>
          <w:rFonts w:asciiTheme="minorHAnsi" w:hAnsiTheme="minorHAnsi" w:cstheme="minorHAnsi"/>
          <w:sz w:val="22"/>
          <w:szCs w:val="22"/>
        </w:rPr>
        <w:t>D</w:t>
      </w:r>
      <w:r w:rsidR="00804DCE" w:rsidRPr="0013635B">
        <w:rPr>
          <w:rFonts w:asciiTheme="minorHAnsi" w:hAnsiTheme="minorHAnsi" w:cstheme="minorHAnsi"/>
          <w:sz w:val="22"/>
          <w:szCs w:val="22"/>
        </w:rPr>
        <w:t xml:space="preserve">ictionary: </w:t>
      </w:r>
      <w:hyperlink r:id="rId43" w:history="1">
        <w:r w:rsidR="0013635B" w:rsidRPr="0013635B">
          <w:rPr>
            <w:rStyle w:val="Hyperlink"/>
            <w:rFonts w:asciiTheme="minorHAnsi" w:hAnsiTheme="minorHAnsi" w:cstheme="minorHAnsi"/>
            <w:sz w:val="22"/>
            <w:szCs w:val="22"/>
          </w:rPr>
          <w:t>https://bit.ly/BioNJ_Dictionary</w:t>
        </w:r>
      </w:hyperlink>
    </w:p>
    <w:p w14:paraId="4CD5209F" w14:textId="77777777" w:rsidR="004E2EEF" w:rsidRPr="004E2EEF" w:rsidRDefault="004E2EEF" w:rsidP="004E2EEF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5FED64E8" w14:textId="429B0106" w:rsidR="004E2EEF" w:rsidRDefault="00C05AE8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  <w:r w:rsidRPr="00A7351B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t xml:space="preserve">Shareable </w:t>
      </w:r>
      <w:r w:rsidR="00415225" w:rsidRPr="00A7351B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  <w:t>Graphic</w:t>
      </w:r>
    </w:p>
    <w:p w14:paraId="7405BA19" w14:textId="77777777" w:rsidR="004E2EEF" w:rsidRPr="00BF7439" w:rsidRDefault="004E2EEF" w:rsidP="001775CC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u w:val="single"/>
        </w:rPr>
      </w:pPr>
    </w:p>
    <w:p w14:paraId="7AC1EDC2" w14:textId="692F2111" w:rsidR="004A572D" w:rsidRDefault="004E2EEF" w:rsidP="001775CC">
      <w:pPr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4AAB3569" wp14:editId="791657DA">
            <wp:extent cx="4650066" cy="2615662"/>
            <wp:effectExtent l="19050" t="19050" r="17780" b="13335"/>
            <wp:docPr id="1534702368" name="Picture 3" descr="A close-up of a drug pr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02368" name="Picture 3" descr="A close-up of a drug price&#10;&#10;Description automatically generated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066" cy="261566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75DAA0" w14:textId="11D36049" w:rsidR="00390E1D" w:rsidRDefault="00390E1D" w:rsidP="001775C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5784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Right click and select “save as picture” to save locally to your computer.</w:t>
      </w:r>
    </w:p>
    <w:p w14:paraId="6158A686" w14:textId="76AAE224" w:rsidR="0090050A" w:rsidRDefault="0090050A" w:rsidP="001775CC">
      <w:pPr>
        <w:rPr>
          <w:rFonts w:asciiTheme="minorHAnsi" w:hAnsiTheme="minorHAnsi" w:cstheme="minorHAnsi"/>
          <w:sz w:val="22"/>
          <w:szCs w:val="22"/>
        </w:rPr>
      </w:pPr>
    </w:p>
    <w:p w14:paraId="14B28427" w14:textId="4FD25530" w:rsidR="00584D86" w:rsidRPr="00390E1D" w:rsidRDefault="00584D86" w:rsidP="001775C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###</w:t>
      </w:r>
    </w:p>
    <w:sectPr w:rsidR="00584D86" w:rsidRPr="00390E1D" w:rsidSect="0075619C">
      <w:headerReference w:type="default" r:id="rId4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8684" w14:textId="77777777" w:rsidR="005F6C63" w:rsidRDefault="005F6C63" w:rsidP="00597055">
      <w:r>
        <w:separator/>
      </w:r>
    </w:p>
  </w:endnote>
  <w:endnote w:type="continuationSeparator" w:id="0">
    <w:p w14:paraId="5D3ADB9C" w14:textId="77777777" w:rsidR="005F6C63" w:rsidRDefault="005F6C63" w:rsidP="0059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58E0" w14:textId="77777777" w:rsidR="005F6C63" w:rsidRDefault="005F6C63" w:rsidP="00597055">
      <w:r>
        <w:separator/>
      </w:r>
    </w:p>
  </w:footnote>
  <w:footnote w:type="continuationSeparator" w:id="0">
    <w:p w14:paraId="423044D8" w14:textId="77777777" w:rsidR="005F6C63" w:rsidRDefault="005F6C63" w:rsidP="0059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0F37" w14:textId="07551806" w:rsidR="00B76373" w:rsidRDefault="00B76373" w:rsidP="008450BA">
    <w:pPr>
      <w:pStyle w:val="Header"/>
      <w:jc w:val="center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687461D" wp14:editId="59F36167">
          <wp:extent cx="1335024" cy="704088"/>
          <wp:effectExtent l="0" t="0" r="0" b="1270"/>
          <wp:docPr id="990522393" name="Picture 4" descr="A logo with text and a dna str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22393" name="Picture 4" descr="A logo with text and a dna stra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024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D6E1B" w14:textId="77777777" w:rsidR="00326615" w:rsidRDefault="00326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DA7"/>
    <w:multiLevelType w:val="hybridMultilevel"/>
    <w:tmpl w:val="001ECD14"/>
    <w:lvl w:ilvl="0" w:tplc="00F2A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34D"/>
    <w:multiLevelType w:val="hybridMultilevel"/>
    <w:tmpl w:val="795E6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6260"/>
    <w:multiLevelType w:val="hybridMultilevel"/>
    <w:tmpl w:val="80D6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53EAE"/>
    <w:multiLevelType w:val="hybridMultilevel"/>
    <w:tmpl w:val="A140B3F6"/>
    <w:lvl w:ilvl="0" w:tplc="5FE2C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2614"/>
    <w:multiLevelType w:val="hybridMultilevel"/>
    <w:tmpl w:val="05004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8745">
    <w:abstractNumId w:val="3"/>
  </w:num>
  <w:num w:numId="2" w16cid:durableId="763041122">
    <w:abstractNumId w:val="0"/>
  </w:num>
  <w:num w:numId="3" w16cid:durableId="837114680">
    <w:abstractNumId w:val="4"/>
  </w:num>
  <w:num w:numId="4" w16cid:durableId="850605944">
    <w:abstractNumId w:val="1"/>
  </w:num>
  <w:num w:numId="5" w16cid:durableId="99340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3B"/>
    <w:rsid w:val="00011CA1"/>
    <w:rsid w:val="000137A2"/>
    <w:rsid w:val="00016C01"/>
    <w:rsid w:val="00033E2E"/>
    <w:rsid w:val="000342E2"/>
    <w:rsid w:val="00054D28"/>
    <w:rsid w:val="00056A04"/>
    <w:rsid w:val="00064488"/>
    <w:rsid w:val="00064774"/>
    <w:rsid w:val="00066D20"/>
    <w:rsid w:val="00074982"/>
    <w:rsid w:val="0007798F"/>
    <w:rsid w:val="00081BBB"/>
    <w:rsid w:val="000856BE"/>
    <w:rsid w:val="00094214"/>
    <w:rsid w:val="000A1896"/>
    <w:rsid w:val="000A311C"/>
    <w:rsid w:val="000C774F"/>
    <w:rsid w:val="000D6A52"/>
    <w:rsid w:val="000D7748"/>
    <w:rsid w:val="000E1BC1"/>
    <w:rsid w:val="000E740D"/>
    <w:rsid w:val="000F6F1E"/>
    <w:rsid w:val="001019AB"/>
    <w:rsid w:val="00112EAB"/>
    <w:rsid w:val="0013635B"/>
    <w:rsid w:val="00137EEA"/>
    <w:rsid w:val="001450DF"/>
    <w:rsid w:val="001546EF"/>
    <w:rsid w:val="001775CC"/>
    <w:rsid w:val="001A0813"/>
    <w:rsid w:val="001A0DA6"/>
    <w:rsid w:val="001A1FED"/>
    <w:rsid w:val="001A3B5B"/>
    <w:rsid w:val="001B6F1B"/>
    <w:rsid w:val="001C31DF"/>
    <w:rsid w:val="001C61E5"/>
    <w:rsid w:val="001C70EA"/>
    <w:rsid w:val="001E3F27"/>
    <w:rsid w:val="00205C75"/>
    <w:rsid w:val="002073B1"/>
    <w:rsid w:val="002129B0"/>
    <w:rsid w:val="00213D2C"/>
    <w:rsid w:val="0021543F"/>
    <w:rsid w:val="002203C6"/>
    <w:rsid w:val="00224F08"/>
    <w:rsid w:val="00232B43"/>
    <w:rsid w:val="0023500E"/>
    <w:rsid w:val="00235778"/>
    <w:rsid w:val="002378DC"/>
    <w:rsid w:val="00254E2E"/>
    <w:rsid w:val="00264795"/>
    <w:rsid w:val="00280DDC"/>
    <w:rsid w:val="00291D72"/>
    <w:rsid w:val="002B29F5"/>
    <w:rsid w:val="002B5004"/>
    <w:rsid w:val="002B5C85"/>
    <w:rsid w:val="002B7C18"/>
    <w:rsid w:val="002C139F"/>
    <w:rsid w:val="002C5C1B"/>
    <w:rsid w:val="002C70A4"/>
    <w:rsid w:val="002E01B7"/>
    <w:rsid w:val="002E0BB9"/>
    <w:rsid w:val="002E6894"/>
    <w:rsid w:val="002E7DB3"/>
    <w:rsid w:val="002F7F66"/>
    <w:rsid w:val="003121E5"/>
    <w:rsid w:val="00312D57"/>
    <w:rsid w:val="00326615"/>
    <w:rsid w:val="00351B68"/>
    <w:rsid w:val="003612D8"/>
    <w:rsid w:val="00374CEA"/>
    <w:rsid w:val="00377764"/>
    <w:rsid w:val="003809A8"/>
    <w:rsid w:val="00390E1D"/>
    <w:rsid w:val="003920B1"/>
    <w:rsid w:val="00397550"/>
    <w:rsid w:val="003B1F5C"/>
    <w:rsid w:val="003C0BA3"/>
    <w:rsid w:val="003C3B0F"/>
    <w:rsid w:val="003D0461"/>
    <w:rsid w:val="003D1C2A"/>
    <w:rsid w:val="003D35EE"/>
    <w:rsid w:val="003F1419"/>
    <w:rsid w:val="003F43DB"/>
    <w:rsid w:val="00401450"/>
    <w:rsid w:val="00405C8C"/>
    <w:rsid w:val="00415225"/>
    <w:rsid w:val="00415366"/>
    <w:rsid w:val="00436083"/>
    <w:rsid w:val="00436CAB"/>
    <w:rsid w:val="004371A8"/>
    <w:rsid w:val="00437756"/>
    <w:rsid w:val="004739EA"/>
    <w:rsid w:val="00481231"/>
    <w:rsid w:val="00482875"/>
    <w:rsid w:val="004828EE"/>
    <w:rsid w:val="00491754"/>
    <w:rsid w:val="004A0166"/>
    <w:rsid w:val="004A572D"/>
    <w:rsid w:val="004C2BAB"/>
    <w:rsid w:val="004C3698"/>
    <w:rsid w:val="004D0318"/>
    <w:rsid w:val="004E02D6"/>
    <w:rsid w:val="004E2EEF"/>
    <w:rsid w:val="004F13B5"/>
    <w:rsid w:val="00507946"/>
    <w:rsid w:val="005230A1"/>
    <w:rsid w:val="00545E1A"/>
    <w:rsid w:val="00546825"/>
    <w:rsid w:val="00560D88"/>
    <w:rsid w:val="005760D3"/>
    <w:rsid w:val="00584D86"/>
    <w:rsid w:val="00597055"/>
    <w:rsid w:val="005C3DC1"/>
    <w:rsid w:val="005D43C6"/>
    <w:rsid w:val="005D5C58"/>
    <w:rsid w:val="005E7E10"/>
    <w:rsid w:val="005F6C63"/>
    <w:rsid w:val="0061104F"/>
    <w:rsid w:val="00615F8F"/>
    <w:rsid w:val="0062084F"/>
    <w:rsid w:val="00623A2D"/>
    <w:rsid w:val="00633BF5"/>
    <w:rsid w:val="00634FDF"/>
    <w:rsid w:val="006409DE"/>
    <w:rsid w:val="00652F5D"/>
    <w:rsid w:val="006534F7"/>
    <w:rsid w:val="006542BC"/>
    <w:rsid w:val="006609B8"/>
    <w:rsid w:val="00660BEB"/>
    <w:rsid w:val="0066337A"/>
    <w:rsid w:val="00663D6A"/>
    <w:rsid w:val="00673AC2"/>
    <w:rsid w:val="00693AEE"/>
    <w:rsid w:val="006B4815"/>
    <w:rsid w:val="006F0027"/>
    <w:rsid w:val="00704FF4"/>
    <w:rsid w:val="00705938"/>
    <w:rsid w:val="0070603B"/>
    <w:rsid w:val="00713F77"/>
    <w:rsid w:val="007407D3"/>
    <w:rsid w:val="00744B5D"/>
    <w:rsid w:val="007511C1"/>
    <w:rsid w:val="0075614D"/>
    <w:rsid w:val="0075619C"/>
    <w:rsid w:val="00772D1A"/>
    <w:rsid w:val="007931CE"/>
    <w:rsid w:val="00794085"/>
    <w:rsid w:val="007A16F4"/>
    <w:rsid w:val="007A19E1"/>
    <w:rsid w:val="007A2B85"/>
    <w:rsid w:val="007B2023"/>
    <w:rsid w:val="007C7B3A"/>
    <w:rsid w:val="007E6729"/>
    <w:rsid w:val="00801669"/>
    <w:rsid w:val="00804DCE"/>
    <w:rsid w:val="0081110B"/>
    <w:rsid w:val="00814EEC"/>
    <w:rsid w:val="00822123"/>
    <w:rsid w:val="00834B68"/>
    <w:rsid w:val="008433BF"/>
    <w:rsid w:val="008450BA"/>
    <w:rsid w:val="00845D71"/>
    <w:rsid w:val="008505FB"/>
    <w:rsid w:val="00872381"/>
    <w:rsid w:val="00874E56"/>
    <w:rsid w:val="00884DA3"/>
    <w:rsid w:val="00884E9C"/>
    <w:rsid w:val="008B07E4"/>
    <w:rsid w:val="008B0EF0"/>
    <w:rsid w:val="008D1A9B"/>
    <w:rsid w:val="008F3838"/>
    <w:rsid w:val="008F5C0D"/>
    <w:rsid w:val="0090050A"/>
    <w:rsid w:val="009250B2"/>
    <w:rsid w:val="009331E9"/>
    <w:rsid w:val="00933705"/>
    <w:rsid w:val="00934FF1"/>
    <w:rsid w:val="009361AC"/>
    <w:rsid w:val="0094277A"/>
    <w:rsid w:val="009439FA"/>
    <w:rsid w:val="00944D40"/>
    <w:rsid w:val="00947A53"/>
    <w:rsid w:val="009535BC"/>
    <w:rsid w:val="00964F3A"/>
    <w:rsid w:val="00965E88"/>
    <w:rsid w:val="00967D97"/>
    <w:rsid w:val="009831C0"/>
    <w:rsid w:val="00991D62"/>
    <w:rsid w:val="009A252F"/>
    <w:rsid w:val="009B0145"/>
    <w:rsid w:val="009B60B2"/>
    <w:rsid w:val="009F30A7"/>
    <w:rsid w:val="00A05750"/>
    <w:rsid w:val="00A13745"/>
    <w:rsid w:val="00A41F30"/>
    <w:rsid w:val="00A46317"/>
    <w:rsid w:val="00A535D5"/>
    <w:rsid w:val="00A56EB8"/>
    <w:rsid w:val="00A57A22"/>
    <w:rsid w:val="00A65683"/>
    <w:rsid w:val="00A72EDF"/>
    <w:rsid w:val="00A7351B"/>
    <w:rsid w:val="00A81183"/>
    <w:rsid w:val="00A822A9"/>
    <w:rsid w:val="00AA2D7A"/>
    <w:rsid w:val="00AB6720"/>
    <w:rsid w:val="00AD1FB8"/>
    <w:rsid w:val="00AD6FA8"/>
    <w:rsid w:val="00AF0DFF"/>
    <w:rsid w:val="00AF72CB"/>
    <w:rsid w:val="00B06944"/>
    <w:rsid w:val="00B53A39"/>
    <w:rsid w:val="00B573BA"/>
    <w:rsid w:val="00B625AB"/>
    <w:rsid w:val="00B64AC5"/>
    <w:rsid w:val="00B650CE"/>
    <w:rsid w:val="00B6577D"/>
    <w:rsid w:val="00B65FB3"/>
    <w:rsid w:val="00B7099D"/>
    <w:rsid w:val="00B72AFC"/>
    <w:rsid w:val="00B75A27"/>
    <w:rsid w:val="00B76373"/>
    <w:rsid w:val="00B800AF"/>
    <w:rsid w:val="00B93D3C"/>
    <w:rsid w:val="00B96AC8"/>
    <w:rsid w:val="00B96AE4"/>
    <w:rsid w:val="00BA288F"/>
    <w:rsid w:val="00BA3C42"/>
    <w:rsid w:val="00BA677D"/>
    <w:rsid w:val="00BB3A54"/>
    <w:rsid w:val="00BC14EB"/>
    <w:rsid w:val="00BC6F9E"/>
    <w:rsid w:val="00BF0AC7"/>
    <w:rsid w:val="00BF7439"/>
    <w:rsid w:val="00C00793"/>
    <w:rsid w:val="00C05AE8"/>
    <w:rsid w:val="00C168B3"/>
    <w:rsid w:val="00C26D06"/>
    <w:rsid w:val="00C3007F"/>
    <w:rsid w:val="00C55ED2"/>
    <w:rsid w:val="00C617C2"/>
    <w:rsid w:val="00C62AAF"/>
    <w:rsid w:val="00C65F9C"/>
    <w:rsid w:val="00C66796"/>
    <w:rsid w:val="00C71D28"/>
    <w:rsid w:val="00C827CF"/>
    <w:rsid w:val="00CB179C"/>
    <w:rsid w:val="00CB362C"/>
    <w:rsid w:val="00CB55A5"/>
    <w:rsid w:val="00CB5E0E"/>
    <w:rsid w:val="00CD36BB"/>
    <w:rsid w:val="00CF6676"/>
    <w:rsid w:val="00D026FB"/>
    <w:rsid w:val="00D038D9"/>
    <w:rsid w:val="00D05C8C"/>
    <w:rsid w:val="00D1519E"/>
    <w:rsid w:val="00D46767"/>
    <w:rsid w:val="00D473F4"/>
    <w:rsid w:val="00D70B72"/>
    <w:rsid w:val="00D83662"/>
    <w:rsid w:val="00D85280"/>
    <w:rsid w:val="00D8528D"/>
    <w:rsid w:val="00D94396"/>
    <w:rsid w:val="00D9473D"/>
    <w:rsid w:val="00D96703"/>
    <w:rsid w:val="00DB346E"/>
    <w:rsid w:val="00DB7C71"/>
    <w:rsid w:val="00DC365C"/>
    <w:rsid w:val="00DC380D"/>
    <w:rsid w:val="00DF5081"/>
    <w:rsid w:val="00E03293"/>
    <w:rsid w:val="00E135F6"/>
    <w:rsid w:val="00E26FEF"/>
    <w:rsid w:val="00E32E41"/>
    <w:rsid w:val="00E428E0"/>
    <w:rsid w:val="00E5622E"/>
    <w:rsid w:val="00E563A6"/>
    <w:rsid w:val="00E5730E"/>
    <w:rsid w:val="00E66959"/>
    <w:rsid w:val="00E8173D"/>
    <w:rsid w:val="00E93B41"/>
    <w:rsid w:val="00EA1166"/>
    <w:rsid w:val="00EA3E1B"/>
    <w:rsid w:val="00EB0462"/>
    <w:rsid w:val="00EC031C"/>
    <w:rsid w:val="00EC3998"/>
    <w:rsid w:val="00EC5DA7"/>
    <w:rsid w:val="00ED1A4D"/>
    <w:rsid w:val="00ED6A1C"/>
    <w:rsid w:val="00EF35C3"/>
    <w:rsid w:val="00EF4FBC"/>
    <w:rsid w:val="00F11B02"/>
    <w:rsid w:val="00F15268"/>
    <w:rsid w:val="00F3025E"/>
    <w:rsid w:val="00F30BBE"/>
    <w:rsid w:val="00F3317C"/>
    <w:rsid w:val="00F527E7"/>
    <w:rsid w:val="00F559FD"/>
    <w:rsid w:val="00F60886"/>
    <w:rsid w:val="00F64D60"/>
    <w:rsid w:val="00F67906"/>
    <w:rsid w:val="00F74D39"/>
    <w:rsid w:val="00F9265E"/>
    <w:rsid w:val="00F92889"/>
    <w:rsid w:val="00FA119F"/>
    <w:rsid w:val="00FA1848"/>
    <w:rsid w:val="00FA2F8D"/>
    <w:rsid w:val="00FB644F"/>
    <w:rsid w:val="00FD31B5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D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2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D28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71D2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A1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5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7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05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05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0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55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005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317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njbio-dpd" TargetMode="External"/><Relationship Id="rId18" Type="http://schemas.openxmlformats.org/officeDocument/2006/relationships/hyperlink" Target="https://bit.ly/pbm-blog" TargetMode="External"/><Relationship Id="rId26" Type="http://schemas.openxmlformats.org/officeDocument/2006/relationships/hyperlink" Target="https://bit.ly/3G7Sr4O" TargetMode="External"/><Relationship Id="rId39" Type="http://schemas.openxmlformats.org/officeDocument/2006/relationships/hyperlink" Target="https://bit.ly/BioNJ_Dictionary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s://bit.ly/ICER-infographic" TargetMode="External"/><Relationship Id="rId42" Type="http://schemas.openxmlformats.org/officeDocument/2006/relationships/hyperlink" Target="https://bit.ly/3SRL353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t.ly/pbminfographic" TargetMode="External"/><Relationship Id="rId29" Type="http://schemas.openxmlformats.org/officeDocument/2006/relationships/hyperlink" Target="https://bit.ly/49JRw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resources-IRA" TargetMode="External"/><Relationship Id="rId24" Type="http://schemas.openxmlformats.org/officeDocument/2006/relationships/hyperlink" Target="https://bit.ly/47JsBzT" TargetMode="External"/><Relationship Id="rId32" Type="http://schemas.openxmlformats.org/officeDocument/2006/relationships/hyperlink" Target="https://bit.ly/ICERblog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bit.ly/3G8q9r1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t.ly/pbminfographic" TargetMode="External"/><Relationship Id="rId23" Type="http://schemas.openxmlformats.org/officeDocument/2006/relationships/hyperlink" Target="https://bit.ly/IRA-blog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bit.ly/ICERblog" TargetMode="External"/><Relationship Id="rId10" Type="http://schemas.openxmlformats.org/officeDocument/2006/relationships/hyperlink" Target="https://bit.ly/pbm-blog" TargetMode="External"/><Relationship Id="rId19" Type="http://schemas.openxmlformats.org/officeDocument/2006/relationships/hyperlink" Target="https://bit.ly/3SRPIUW" TargetMode="External"/><Relationship Id="rId31" Type="http://schemas.openxmlformats.org/officeDocument/2006/relationships/hyperlink" Target="https://bit.ly/3MTmCjW" TargetMode="External"/><Relationship Id="rId44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bit.ly/pbminfographic" TargetMode="External"/><Relationship Id="rId14" Type="http://schemas.openxmlformats.org/officeDocument/2006/relationships/hyperlink" Target="https://bit.ly/47o40B0" TargetMode="External"/><Relationship Id="rId22" Type="http://schemas.openxmlformats.org/officeDocument/2006/relationships/hyperlink" Target="https://bit.ly/46jUnSs" TargetMode="External"/><Relationship Id="rId27" Type="http://schemas.openxmlformats.org/officeDocument/2006/relationships/hyperlink" Target="https://bit.ly/IRA-blog" TargetMode="External"/><Relationship Id="rId30" Type="http://schemas.openxmlformats.org/officeDocument/2006/relationships/hyperlink" Target="https://bit.ly/ICER-infographic" TargetMode="External"/><Relationship Id="rId35" Type="http://schemas.openxmlformats.org/officeDocument/2006/relationships/hyperlink" Target="https://bit.ly/3ur1zPq" TargetMode="External"/><Relationship Id="rId43" Type="http://schemas.openxmlformats.org/officeDocument/2006/relationships/hyperlink" Target="https://bit.ly/BioNJ_Dictionary" TargetMode="External"/><Relationship Id="rId8" Type="http://schemas.openxmlformats.org/officeDocument/2006/relationships/hyperlink" Target="https://bionj.org/value-of-medical-innovation-toolbox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t.ly/ICERblog" TargetMode="External"/><Relationship Id="rId17" Type="http://schemas.openxmlformats.org/officeDocument/2006/relationships/hyperlink" Target="https://bit.ly/3szjIu0" TargetMode="External"/><Relationship Id="rId25" Type="http://schemas.openxmlformats.org/officeDocument/2006/relationships/hyperlink" Target="https://bit.ly/resources-IRA" TargetMode="External"/><Relationship Id="rId33" Type="http://schemas.openxmlformats.org/officeDocument/2006/relationships/hyperlink" Target="https://bit.ly/47p36nR" TargetMode="External"/><Relationship Id="rId38" Type="http://schemas.openxmlformats.org/officeDocument/2006/relationships/hyperlink" Target="https://bit.ly/49Nnws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it.ly/pbminfographic" TargetMode="External"/><Relationship Id="rId41" Type="http://schemas.openxmlformats.org/officeDocument/2006/relationships/hyperlink" Target="https://bit.ly/BioNJ_Diction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11086D-B55A-984C-9634-00EB277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2023-11-20T22:11:00Z</dcterms:created>
  <dcterms:modified xsi:type="dcterms:W3CDTF">2023-12-12T18:30:00Z</dcterms:modified>
</cp:coreProperties>
</file>